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46BF6" w14:textId="257FD319" w:rsidR="00AE332E" w:rsidRDefault="006C682B" w:rsidP="006C682B">
      <w:pPr>
        <w:jc w:val="center"/>
      </w:pPr>
      <w:r>
        <w:rPr>
          <w:noProof/>
        </w:rPr>
        <w:drawing>
          <wp:inline distT="0" distB="0" distL="0" distR="0" wp14:anchorId="118374E8" wp14:editId="07D6DA21">
            <wp:extent cx="3225165" cy="469265"/>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5165" cy="469265"/>
                    </a:xfrm>
                    <a:prstGeom prst="rect">
                      <a:avLst/>
                    </a:prstGeom>
                    <a:noFill/>
                  </pic:spPr>
                </pic:pic>
              </a:graphicData>
            </a:graphic>
          </wp:inline>
        </w:drawing>
      </w:r>
    </w:p>
    <w:p w14:paraId="33D23056" w14:textId="21952D4F" w:rsidR="006C682B" w:rsidRDefault="006C682B" w:rsidP="006C682B">
      <w:pPr>
        <w:jc w:val="center"/>
      </w:pPr>
    </w:p>
    <w:p w14:paraId="72F7EFE9" w14:textId="2CBBB109" w:rsidR="006C682B" w:rsidRDefault="006C682B" w:rsidP="006C682B">
      <w:pPr>
        <w:jc w:val="center"/>
      </w:pPr>
    </w:p>
    <w:p w14:paraId="540AE62A" w14:textId="4CCB6D16" w:rsidR="006C682B" w:rsidRPr="006C682B" w:rsidRDefault="006C682B" w:rsidP="006C682B">
      <w:pPr>
        <w:jc w:val="center"/>
        <w:rPr>
          <w:rFonts w:eastAsia="Times New Roman" w:cstheme="minorHAnsi"/>
          <w:b/>
          <w:kern w:val="3"/>
          <w:sz w:val="28"/>
          <w:szCs w:val="28"/>
          <w:shd w:val="clear" w:color="auto" w:fill="FFFFFF"/>
        </w:rPr>
      </w:pPr>
      <w:r w:rsidRPr="006C682B">
        <w:rPr>
          <w:rFonts w:eastAsia="Times New Roman" w:cstheme="minorHAnsi"/>
          <w:b/>
          <w:kern w:val="3"/>
          <w:sz w:val="28"/>
          <w:szCs w:val="28"/>
          <w:shd w:val="clear" w:color="auto" w:fill="FFFFFF"/>
        </w:rPr>
        <w:t>Dichiarazione, resa ai sensi degli artt. 46 e 47 del D.P.R. 445/2000</w:t>
      </w:r>
    </w:p>
    <w:p w14:paraId="3324C880" w14:textId="252C925F" w:rsidR="006C682B" w:rsidRDefault="006C682B" w:rsidP="006C682B"/>
    <w:p w14:paraId="39F7FF02" w14:textId="1CCF91E7" w:rsidR="006C682B" w:rsidRDefault="006C682B" w:rsidP="006C682B">
      <w:r>
        <w:t>La Ditta Affidataria dichiara:</w:t>
      </w:r>
    </w:p>
    <w:p w14:paraId="1D3D3A0F" w14:textId="50E90CCB" w:rsidR="006C682B" w:rsidRDefault="006C682B" w:rsidP="006C682B"/>
    <w:p w14:paraId="73A50501" w14:textId="77777777" w:rsidR="006C682B" w:rsidRPr="006C682B" w:rsidRDefault="006C682B" w:rsidP="006C682B">
      <w:pPr>
        <w:widowControl w:val="0"/>
        <w:numPr>
          <w:ilvl w:val="0"/>
          <w:numId w:val="1"/>
        </w:numPr>
        <w:suppressAutoHyphens/>
        <w:autoSpaceDN w:val="0"/>
        <w:spacing w:before="120" w:after="120" w:line="240" w:lineRule="auto"/>
        <w:ind w:left="426"/>
        <w:jc w:val="both"/>
        <w:textAlignment w:val="baseline"/>
        <w:rPr>
          <w:rFonts w:eastAsia="Times New Roman" w:cstheme="minorHAnsi"/>
          <w:kern w:val="3"/>
          <w:sz w:val="24"/>
          <w:szCs w:val="24"/>
          <w:shd w:val="clear" w:color="auto" w:fill="FFFFFF"/>
          <w:lang w:eastAsia="it-IT"/>
        </w:rPr>
      </w:pPr>
      <w:r w:rsidRPr="006C682B">
        <w:rPr>
          <w:rFonts w:eastAsia="Times New Roman" w:cstheme="minorHAnsi"/>
          <w:kern w:val="3"/>
          <w:sz w:val="24"/>
          <w:szCs w:val="24"/>
          <w:shd w:val="clear" w:color="auto" w:fill="FFFFFF"/>
          <w:lang w:eastAsia="it-IT"/>
        </w:rPr>
        <w:t xml:space="preserve">di aver preso visione del </w:t>
      </w:r>
      <w:r w:rsidRPr="006C682B">
        <w:rPr>
          <w:rFonts w:eastAsia="Times New Roman" w:cstheme="minorHAnsi"/>
          <w:i/>
          <w:kern w:val="3"/>
          <w:sz w:val="24"/>
          <w:szCs w:val="24"/>
          <w:shd w:val="clear" w:color="auto" w:fill="FFFFFF"/>
          <w:lang w:eastAsia="it-IT"/>
        </w:rPr>
        <w:t>Codice di comportamento della Regione Emilia-Romagna</w:t>
      </w:r>
      <w:r w:rsidRPr="006C682B">
        <w:rPr>
          <w:rFonts w:eastAsia="Times New Roman" w:cstheme="minorHAnsi"/>
          <w:kern w:val="3"/>
          <w:sz w:val="24"/>
          <w:szCs w:val="24"/>
          <w:shd w:val="clear" w:color="auto" w:fill="FFFFFF"/>
          <w:lang w:eastAsia="it-IT"/>
        </w:rPr>
        <w:t>, approvato con delibera di Giunta regionale n. 421 del 2014, tramite consultazione sul sito istituzionale dell’Assemblea legislativa - Sezione Amministrazione Trasparente - Codice di Comportamento, al link:</w:t>
      </w:r>
    </w:p>
    <w:bookmarkStart w:id="0" w:name="_Hlk523150068"/>
    <w:p w14:paraId="1CBDE18A" w14:textId="77777777" w:rsidR="006C682B" w:rsidRPr="006C682B" w:rsidRDefault="006C682B" w:rsidP="006C682B">
      <w:pPr>
        <w:widowControl w:val="0"/>
        <w:suppressAutoHyphens/>
        <w:autoSpaceDN w:val="0"/>
        <w:spacing w:before="120" w:after="120" w:line="240" w:lineRule="auto"/>
        <w:ind w:left="426" w:hanging="10"/>
        <w:jc w:val="both"/>
        <w:textAlignment w:val="baseline"/>
        <w:rPr>
          <w:rFonts w:eastAsia="Times New Roman" w:cstheme="minorHAnsi"/>
          <w:kern w:val="3"/>
          <w:sz w:val="24"/>
          <w:szCs w:val="24"/>
          <w:shd w:val="clear" w:color="auto" w:fill="FFFFFF"/>
          <w:lang w:eastAsia="it-IT"/>
        </w:rPr>
      </w:pPr>
      <w:r w:rsidRPr="006C682B">
        <w:rPr>
          <w:rFonts w:eastAsia="Times New Roman" w:cstheme="minorHAnsi"/>
          <w:kern w:val="3"/>
          <w:sz w:val="24"/>
          <w:szCs w:val="24"/>
          <w:shd w:val="clear" w:color="auto" w:fill="FFFFFF"/>
          <w:lang w:eastAsia="it-IT"/>
        </w:rPr>
        <w:fldChar w:fldCharType="begin"/>
      </w:r>
      <w:r w:rsidRPr="006C682B">
        <w:rPr>
          <w:rFonts w:eastAsia="Times New Roman" w:cstheme="minorHAnsi"/>
          <w:kern w:val="3"/>
          <w:sz w:val="24"/>
          <w:szCs w:val="24"/>
          <w:shd w:val="clear" w:color="auto" w:fill="FFFFFF"/>
          <w:lang w:eastAsia="it-IT"/>
        </w:rPr>
        <w:instrText xml:space="preserve"> HYPERLINK "https://trasparenza.regione.emilia-romagna.it/disposizioni-generali/atti-generali/codice-di-comportamento/codice-disciplinare-e-codice-di-comportamento" </w:instrText>
      </w:r>
      <w:r w:rsidRPr="006C682B">
        <w:rPr>
          <w:rFonts w:eastAsia="Times New Roman" w:cstheme="minorHAnsi"/>
          <w:kern w:val="3"/>
          <w:sz w:val="24"/>
          <w:szCs w:val="24"/>
          <w:shd w:val="clear" w:color="auto" w:fill="FFFFFF"/>
          <w:lang w:eastAsia="it-IT"/>
        </w:rPr>
        <w:fldChar w:fldCharType="separate"/>
      </w:r>
      <w:r w:rsidRPr="006C682B">
        <w:rPr>
          <w:rFonts w:eastAsia="Times New Roman" w:cstheme="minorHAnsi"/>
          <w:color w:val="0563C1"/>
          <w:kern w:val="3"/>
          <w:sz w:val="24"/>
          <w:szCs w:val="24"/>
          <w:u w:val="single"/>
          <w:shd w:val="clear" w:color="auto" w:fill="FFFFFF"/>
          <w:lang w:eastAsia="it-IT"/>
        </w:rPr>
        <w:t>https://trasparenza.regione.emilia-romagna.it/disposizioni-generali/atti-generali/codice-di-comportamento/codice-disciplinare-e-codice-di-comportamento</w:t>
      </w:r>
      <w:r w:rsidRPr="006C682B">
        <w:rPr>
          <w:rFonts w:eastAsia="Times New Roman" w:cstheme="minorHAnsi"/>
          <w:kern w:val="3"/>
          <w:sz w:val="24"/>
          <w:szCs w:val="24"/>
          <w:shd w:val="clear" w:color="auto" w:fill="FFFFFF"/>
          <w:lang w:eastAsia="it-IT"/>
        </w:rPr>
        <w:fldChar w:fldCharType="end"/>
      </w:r>
    </w:p>
    <w:bookmarkEnd w:id="0"/>
    <w:p w14:paraId="3B822D72" w14:textId="77777777" w:rsidR="006C682B" w:rsidRPr="006C682B" w:rsidRDefault="006C682B" w:rsidP="006C682B">
      <w:pPr>
        <w:widowControl w:val="0"/>
        <w:numPr>
          <w:ilvl w:val="0"/>
          <w:numId w:val="1"/>
        </w:numPr>
        <w:suppressAutoHyphens/>
        <w:autoSpaceDN w:val="0"/>
        <w:spacing w:before="120" w:after="120" w:line="240" w:lineRule="auto"/>
        <w:ind w:left="426"/>
        <w:jc w:val="both"/>
        <w:textAlignment w:val="baseline"/>
        <w:rPr>
          <w:rFonts w:eastAsia="Times New Roman" w:cstheme="minorHAnsi"/>
          <w:kern w:val="3"/>
          <w:sz w:val="24"/>
          <w:szCs w:val="24"/>
          <w:shd w:val="clear" w:color="auto" w:fill="FFFFFF"/>
          <w:lang w:eastAsia="it-IT"/>
        </w:rPr>
      </w:pPr>
      <w:r w:rsidRPr="006C682B">
        <w:rPr>
          <w:rFonts w:eastAsia="Times New Roman" w:cstheme="minorHAnsi"/>
          <w:kern w:val="3"/>
          <w:sz w:val="24"/>
          <w:szCs w:val="24"/>
          <w:shd w:val="clear" w:color="auto" w:fill="FFFFFF"/>
          <w:lang w:eastAsia="it-IT"/>
        </w:rPr>
        <w:t xml:space="preserve">di rispettare e a far rispettare dai propri dipendenti o collaboratori, quando operano presso le strutture dell’Assemblea legislativa della Regione Emilia-Romagna o al servizio della stessa, le norme di condotta, per quanto compatibili con il ruolo e l’attività svolta, previsti dal Codice di comportamento sopra citato. La violazione degli obblighi di comportamento implicherà per l’Amministrazione la facoltà di risolvere il contratto, qualora, in ragione della gravità o della reiterazione, la stessa sia ritenuta grave, previo esperimento di una procedura che garantisca il contraddittorio; </w:t>
      </w:r>
    </w:p>
    <w:p w14:paraId="0C163EBE" w14:textId="3DC790E9" w:rsidR="006C682B" w:rsidRPr="006C682B" w:rsidRDefault="006C682B" w:rsidP="006C682B">
      <w:pPr>
        <w:widowControl w:val="0"/>
        <w:numPr>
          <w:ilvl w:val="0"/>
          <w:numId w:val="1"/>
        </w:numPr>
        <w:suppressAutoHyphens/>
        <w:autoSpaceDN w:val="0"/>
        <w:spacing w:before="120" w:after="120" w:line="240" w:lineRule="auto"/>
        <w:ind w:left="426"/>
        <w:jc w:val="both"/>
        <w:textAlignment w:val="baseline"/>
        <w:rPr>
          <w:rFonts w:eastAsia="Times New Roman" w:cstheme="minorHAnsi"/>
          <w:kern w:val="3"/>
          <w:sz w:val="24"/>
          <w:szCs w:val="24"/>
          <w:shd w:val="clear" w:color="auto" w:fill="FFFFFF"/>
          <w:lang w:eastAsia="it-IT"/>
        </w:rPr>
      </w:pPr>
      <w:r w:rsidRPr="006C682B">
        <w:rPr>
          <w:rFonts w:eastAsia="Times New Roman" w:cstheme="minorHAnsi"/>
          <w:kern w:val="3"/>
          <w:sz w:val="24"/>
          <w:szCs w:val="24"/>
          <w:shd w:val="clear" w:color="auto" w:fill="FFFFFF"/>
          <w:lang w:eastAsia="it-IT"/>
        </w:rPr>
        <w:t>di non aver affidato, a decorrere dall’entrata in vigore del comma 16 ter dell’articolo 53 del D.</w:t>
      </w:r>
      <w:r w:rsidR="00C22D77">
        <w:rPr>
          <w:rFonts w:eastAsia="Times New Roman" w:cstheme="minorHAnsi"/>
          <w:kern w:val="3"/>
          <w:sz w:val="24"/>
          <w:szCs w:val="24"/>
          <w:shd w:val="clear" w:color="auto" w:fill="FFFFFF"/>
          <w:lang w:eastAsia="it-IT"/>
        </w:rPr>
        <w:t xml:space="preserve"> L</w:t>
      </w:r>
      <w:r w:rsidRPr="006C682B">
        <w:rPr>
          <w:rFonts w:eastAsia="Times New Roman" w:cstheme="minorHAnsi"/>
          <w:kern w:val="3"/>
          <w:sz w:val="24"/>
          <w:szCs w:val="24"/>
          <w:shd w:val="clear" w:color="auto" w:fill="FFFFFF"/>
          <w:lang w:eastAsia="it-IT"/>
        </w:rPr>
        <w:t>gs. n. 165/2001 (28/11/2012), incarichi o lavori retribuiti, di natura autonoma o subordinata, a ex dipendenti delle pubbliche amministrazioni di cui all’articolo 1, comma 2, del medesimo decreto, entro tre anni dalla loro cessazione dal servizio, se questi avevano esercitato, nei confronti dell’aggiudicataria medesima, poteri autoritativi o negoziali in nome e per conto dell’Amministrazione di appartenenza (</w:t>
      </w:r>
      <w:r w:rsidRPr="006C682B">
        <w:rPr>
          <w:rFonts w:eastAsia="Times New Roman" w:cstheme="minorHAnsi"/>
          <w:i/>
          <w:kern w:val="3"/>
          <w:sz w:val="24"/>
          <w:szCs w:val="24"/>
          <w:shd w:val="clear" w:color="auto" w:fill="FFFFFF"/>
          <w:lang w:eastAsia="it-IT"/>
        </w:rPr>
        <w:t xml:space="preserve">divieto </w:t>
      </w:r>
      <w:proofErr w:type="spellStart"/>
      <w:r w:rsidRPr="006C682B">
        <w:rPr>
          <w:rFonts w:eastAsia="Times New Roman" w:cstheme="minorHAnsi"/>
          <w:i/>
          <w:kern w:val="3"/>
          <w:sz w:val="24"/>
          <w:szCs w:val="24"/>
          <w:shd w:val="clear" w:color="auto" w:fill="FFFFFF"/>
          <w:lang w:eastAsia="it-IT"/>
        </w:rPr>
        <w:t>pantouflage</w:t>
      </w:r>
      <w:proofErr w:type="spellEnd"/>
      <w:r w:rsidRPr="006C682B">
        <w:rPr>
          <w:rFonts w:eastAsia="Times New Roman" w:cstheme="minorHAnsi"/>
          <w:kern w:val="3"/>
          <w:sz w:val="24"/>
          <w:szCs w:val="24"/>
          <w:shd w:val="clear" w:color="auto" w:fill="FFFFFF"/>
          <w:lang w:eastAsia="it-IT"/>
        </w:rPr>
        <w:t>);</w:t>
      </w:r>
    </w:p>
    <w:p w14:paraId="4C71A7B6" w14:textId="1EA06002" w:rsidR="006C682B" w:rsidRPr="006C682B" w:rsidRDefault="006C682B" w:rsidP="006C682B">
      <w:pPr>
        <w:widowControl w:val="0"/>
        <w:numPr>
          <w:ilvl w:val="0"/>
          <w:numId w:val="1"/>
        </w:numPr>
        <w:suppressAutoHyphens/>
        <w:autoSpaceDN w:val="0"/>
        <w:spacing w:before="120" w:after="120" w:line="240" w:lineRule="auto"/>
        <w:ind w:left="426"/>
        <w:jc w:val="both"/>
        <w:textAlignment w:val="baseline"/>
        <w:rPr>
          <w:rFonts w:eastAsia="Times New Roman" w:cstheme="minorHAnsi"/>
          <w:kern w:val="3"/>
          <w:sz w:val="24"/>
          <w:szCs w:val="24"/>
          <w:shd w:val="clear" w:color="auto" w:fill="FFFFFF"/>
          <w:lang w:eastAsia="it-IT"/>
        </w:rPr>
      </w:pPr>
      <w:r w:rsidRPr="006C682B">
        <w:rPr>
          <w:rFonts w:eastAsia="Times New Roman" w:cstheme="minorHAnsi"/>
          <w:kern w:val="3"/>
          <w:sz w:val="24"/>
          <w:szCs w:val="24"/>
          <w:shd w:val="clear" w:color="auto" w:fill="FFFFFF"/>
          <w:lang w:eastAsia="it-IT"/>
        </w:rPr>
        <w:t>di essere consapevole che qualora emerga la violazione dell’articolo 53, comma 16 ter del D.</w:t>
      </w:r>
      <w:r w:rsidR="009D7F3B">
        <w:rPr>
          <w:rFonts w:eastAsia="Times New Roman" w:cstheme="minorHAnsi"/>
          <w:kern w:val="3"/>
          <w:sz w:val="24"/>
          <w:szCs w:val="24"/>
          <w:shd w:val="clear" w:color="auto" w:fill="FFFFFF"/>
          <w:lang w:eastAsia="it-IT"/>
        </w:rPr>
        <w:t xml:space="preserve"> L</w:t>
      </w:r>
      <w:bookmarkStart w:id="1" w:name="_GoBack"/>
      <w:bookmarkEnd w:id="1"/>
      <w:r w:rsidRPr="006C682B">
        <w:rPr>
          <w:rFonts w:eastAsia="Times New Roman" w:cstheme="minorHAnsi"/>
          <w:kern w:val="3"/>
          <w:sz w:val="24"/>
          <w:szCs w:val="24"/>
          <w:shd w:val="clear" w:color="auto" w:fill="FFFFFF"/>
          <w:lang w:eastAsia="it-IT"/>
        </w:rPr>
        <w:t>gs. n. 165/2001, verrà disposta l’esclusione dalla procedura di affidamento;</w:t>
      </w:r>
    </w:p>
    <w:p w14:paraId="3F3BBCCC" w14:textId="77777777" w:rsidR="006C682B" w:rsidRPr="006C682B" w:rsidRDefault="006C682B" w:rsidP="006C682B">
      <w:pPr>
        <w:widowControl w:val="0"/>
        <w:numPr>
          <w:ilvl w:val="0"/>
          <w:numId w:val="1"/>
        </w:numPr>
        <w:suppressAutoHyphens/>
        <w:autoSpaceDN w:val="0"/>
        <w:spacing w:before="120" w:after="120" w:line="240" w:lineRule="auto"/>
        <w:ind w:left="426"/>
        <w:jc w:val="both"/>
        <w:textAlignment w:val="baseline"/>
        <w:rPr>
          <w:rFonts w:eastAsia="Times New Roman" w:cstheme="minorHAnsi"/>
          <w:kern w:val="3"/>
          <w:sz w:val="24"/>
          <w:szCs w:val="24"/>
          <w:shd w:val="clear" w:color="auto" w:fill="FFFFFF"/>
          <w:lang w:eastAsia="it-IT"/>
        </w:rPr>
      </w:pPr>
      <w:r w:rsidRPr="006C682B">
        <w:rPr>
          <w:rFonts w:eastAsia="Times New Roman" w:cstheme="minorHAnsi"/>
          <w:kern w:val="3"/>
          <w:sz w:val="24"/>
          <w:szCs w:val="24"/>
          <w:shd w:val="clear" w:color="auto" w:fill="FFFFFF"/>
          <w:lang w:eastAsia="it-IT"/>
        </w:rPr>
        <w:t xml:space="preserve">ai fini del monitoraggio dei rapporti tra l'Amministrazione e i soggetti che con la stessa stipulano contratti o che sono interessati a procedimenti di autorizzazione, concessione o erogazione di vantaggi economici di qualunque genere, anche verificando eventuali </w:t>
      </w:r>
      <w:r w:rsidRPr="006C682B">
        <w:rPr>
          <w:rFonts w:eastAsia="Times New Roman" w:cstheme="minorHAnsi"/>
          <w:i/>
          <w:kern w:val="3"/>
          <w:sz w:val="24"/>
          <w:szCs w:val="24"/>
          <w:shd w:val="clear" w:color="auto" w:fill="FFFFFF"/>
          <w:lang w:eastAsia="it-IT"/>
        </w:rPr>
        <w:t>relazioni di parentela o affinità</w:t>
      </w:r>
      <w:r w:rsidRPr="006C682B">
        <w:rPr>
          <w:rFonts w:eastAsia="Times New Roman" w:cstheme="minorHAnsi"/>
          <w:kern w:val="3"/>
          <w:sz w:val="24"/>
          <w:szCs w:val="24"/>
          <w:shd w:val="clear" w:color="auto" w:fill="FFFFFF"/>
          <w:lang w:eastAsia="it-IT"/>
        </w:rPr>
        <w:t xml:space="preserve"> sussistenti tra i titolari, gli amministratori, i soci e i dipendenti degli stessi soggetti e i dirigenti e dipendenti dell’Amministrazione, in adempimento a quanto previsto dall’art. 1, comma 9 lett. e), della L. 6 novembre 2012, n. 190 (Disposizioni per la prevenzione e la repressione della corruzione e dell'illegalità nella pubblica amministrazione): </w:t>
      </w:r>
    </w:p>
    <w:p w14:paraId="71C6A31E" w14:textId="557BA765" w:rsidR="006C682B" w:rsidRPr="006C682B" w:rsidRDefault="006C682B" w:rsidP="006C682B">
      <w:pPr>
        <w:widowControl w:val="0"/>
        <w:suppressAutoHyphens/>
        <w:autoSpaceDN w:val="0"/>
        <w:spacing w:before="120" w:after="120" w:line="240" w:lineRule="auto"/>
        <w:ind w:left="10" w:hanging="10"/>
        <w:jc w:val="both"/>
        <w:textAlignment w:val="baseline"/>
        <w:rPr>
          <w:rFonts w:eastAsia="Times New Roman" w:cstheme="minorHAnsi"/>
          <w:kern w:val="3"/>
          <w:sz w:val="24"/>
          <w:szCs w:val="24"/>
          <w:shd w:val="clear" w:color="auto" w:fill="FFFFFF"/>
          <w:lang w:eastAsia="it-IT"/>
        </w:rPr>
      </w:pPr>
      <w:r>
        <w:rPr>
          <w:rFonts w:eastAsia="Times New Roman" w:cstheme="minorHAnsi"/>
          <w:kern w:val="3"/>
          <w:sz w:val="24"/>
          <w:szCs w:val="24"/>
          <w:shd w:val="clear" w:color="auto" w:fill="FFFFFF"/>
          <w:lang w:eastAsia="it-IT"/>
        </w:rPr>
        <w:t xml:space="preserve">□   </w:t>
      </w:r>
      <w:r w:rsidRPr="006C682B">
        <w:rPr>
          <w:rFonts w:eastAsia="Times New Roman" w:cstheme="minorHAnsi"/>
          <w:kern w:val="3"/>
          <w:sz w:val="24"/>
          <w:szCs w:val="24"/>
          <w:shd w:val="clear" w:color="auto" w:fill="FFFFFF"/>
          <w:lang w:eastAsia="it-IT"/>
        </w:rPr>
        <w:t xml:space="preserve"> </w:t>
      </w:r>
      <w:r>
        <w:rPr>
          <w:rFonts w:eastAsia="Times New Roman" w:cstheme="minorHAnsi"/>
          <w:kern w:val="3"/>
          <w:sz w:val="24"/>
          <w:szCs w:val="24"/>
          <w:shd w:val="clear" w:color="auto" w:fill="FFFFFF"/>
          <w:lang w:eastAsia="it-IT"/>
        </w:rPr>
        <w:t xml:space="preserve">di non </w:t>
      </w:r>
      <w:r w:rsidR="00D32138">
        <w:rPr>
          <w:rFonts w:eastAsia="Times New Roman" w:cstheme="minorHAnsi"/>
          <w:kern w:val="3"/>
          <w:sz w:val="24"/>
          <w:szCs w:val="24"/>
          <w:shd w:val="clear" w:color="auto" w:fill="FFFFFF"/>
          <w:lang w:eastAsia="it-IT"/>
        </w:rPr>
        <w:t>t</w:t>
      </w:r>
      <w:r w:rsidRPr="006C682B">
        <w:rPr>
          <w:rFonts w:eastAsia="Times New Roman" w:cstheme="minorHAnsi"/>
          <w:kern w:val="3"/>
          <w:sz w:val="24"/>
          <w:szCs w:val="24"/>
          <w:shd w:val="clear" w:color="auto" w:fill="FFFFFF"/>
          <w:lang w:eastAsia="it-IT"/>
        </w:rPr>
        <w:t>rovarsi in rapporto di coniugio, convivenza, parentela o affinità</w:t>
      </w:r>
      <w:r w:rsidRPr="006C682B">
        <w:rPr>
          <w:rFonts w:eastAsia="Times New Roman" w:cstheme="minorHAnsi"/>
          <w:kern w:val="3"/>
          <w:sz w:val="24"/>
          <w:szCs w:val="24"/>
          <w:shd w:val="clear" w:color="auto" w:fill="FFFFFF"/>
          <w:vertAlign w:val="superscript"/>
          <w:lang w:eastAsia="it-IT"/>
        </w:rPr>
        <w:footnoteReference w:id="1"/>
      </w:r>
      <w:r w:rsidRPr="006C682B">
        <w:rPr>
          <w:rFonts w:eastAsia="Times New Roman" w:cstheme="minorHAnsi"/>
          <w:kern w:val="3"/>
          <w:sz w:val="24"/>
          <w:szCs w:val="24"/>
          <w:shd w:val="clear" w:color="auto" w:fill="FFFFFF"/>
          <w:lang w:eastAsia="it-IT"/>
        </w:rPr>
        <w:t xml:space="preserve"> (entro il secondo grado) con </w:t>
      </w:r>
      <w:r w:rsidR="00C22D77">
        <w:rPr>
          <w:rFonts w:eastAsia="Times New Roman" w:cstheme="minorHAnsi"/>
          <w:kern w:val="3"/>
          <w:sz w:val="24"/>
          <w:szCs w:val="24"/>
          <w:shd w:val="clear" w:color="auto" w:fill="FFFFFF"/>
          <w:lang w:eastAsia="it-IT"/>
        </w:rPr>
        <w:t xml:space="preserve">la Responsabile del Servizio Funzionamento e Gestione </w:t>
      </w:r>
      <w:r w:rsidRPr="006C682B">
        <w:rPr>
          <w:rFonts w:eastAsia="Times New Roman" w:cstheme="minorHAnsi"/>
          <w:kern w:val="3"/>
          <w:sz w:val="24"/>
          <w:szCs w:val="24"/>
          <w:shd w:val="clear" w:color="auto" w:fill="FFFFFF"/>
          <w:lang w:eastAsia="it-IT"/>
        </w:rPr>
        <w:t xml:space="preserve">dell’Assemblea legislativa della Regione Emilia-Romagna; </w:t>
      </w:r>
      <w:r w:rsidR="00C22D77">
        <w:rPr>
          <w:rFonts w:eastAsia="Times New Roman" w:cstheme="minorHAnsi"/>
          <w:kern w:val="3"/>
          <w:sz w:val="24"/>
          <w:szCs w:val="24"/>
          <w:shd w:val="clear" w:color="auto" w:fill="FFFFFF"/>
          <w:lang w:eastAsia="it-IT"/>
        </w:rPr>
        <w:t xml:space="preserve">Dott.ssa </w:t>
      </w:r>
      <w:r w:rsidRPr="006C682B">
        <w:rPr>
          <w:rFonts w:eastAsia="Times New Roman" w:cstheme="minorHAnsi"/>
          <w:kern w:val="3"/>
          <w:sz w:val="24"/>
          <w:szCs w:val="24"/>
          <w:shd w:val="clear" w:color="auto" w:fill="FFFFFF"/>
          <w:lang w:eastAsia="it-IT"/>
        </w:rPr>
        <w:t>Lea</w:t>
      </w:r>
      <w:r w:rsidR="00C22D77">
        <w:rPr>
          <w:rFonts w:eastAsia="Times New Roman" w:cstheme="minorHAnsi"/>
          <w:kern w:val="3"/>
          <w:sz w:val="24"/>
          <w:szCs w:val="24"/>
          <w:shd w:val="clear" w:color="auto" w:fill="FFFFFF"/>
          <w:lang w:eastAsia="it-IT"/>
        </w:rPr>
        <w:t xml:space="preserve"> Maresca</w:t>
      </w:r>
      <w:r w:rsidRPr="006C682B">
        <w:rPr>
          <w:rFonts w:eastAsia="Times New Roman" w:cstheme="minorHAnsi"/>
          <w:kern w:val="3"/>
          <w:sz w:val="24"/>
          <w:szCs w:val="24"/>
          <w:shd w:val="clear" w:color="auto" w:fill="FFFFFF"/>
          <w:lang w:eastAsia="it-IT"/>
        </w:rPr>
        <w:t xml:space="preserve"> </w:t>
      </w:r>
    </w:p>
    <w:p w14:paraId="6C6C9AE6" w14:textId="0F04B12B" w:rsidR="006C682B" w:rsidRPr="006C682B" w:rsidRDefault="006C682B" w:rsidP="006C682B">
      <w:pPr>
        <w:widowControl w:val="0"/>
        <w:suppressAutoHyphens/>
        <w:autoSpaceDN w:val="0"/>
        <w:spacing w:before="120" w:after="120" w:line="240" w:lineRule="auto"/>
        <w:ind w:left="10" w:hanging="10"/>
        <w:jc w:val="both"/>
        <w:textAlignment w:val="baseline"/>
        <w:rPr>
          <w:rFonts w:eastAsia="Times New Roman" w:cstheme="minorHAnsi"/>
          <w:kern w:val="3"/>
          <w:sz w:val="24"/>
          <w:szCs w:val="24"/>
          <w:shd w:val="clear" w:color="auto" w:fill="FFFFFF"/>
          <w:lang w:eastAsia="it-IT"/>
        </w:rPr>
      </w:pPr>
      <w:r>
        <w:rPr>
          <w:rFonts w:eastAsia="Times New Roman" w:cstheme="minorHAnsi"/>
          <w:kern w:val="3"/>
          <w:sz w:val="24"/>
          <w:szCs w:val="24"/>
          <w:shd w:val="clear" w:color="auto" w:fill="FFFFFF"/>
          <w:lang w:eastAsia="it-IT"/>
        </w:rPr>
        <w:lastRenderedPageBreak/>
        <w:t>□</w:t>
      </w:r>
      <w:r w:rsidR="00D32138">
        <w:rPr>
          <w:rFonts w:eastAsia="Times New Roman" w:cstheme="minorHAnsi"/>
          <w:kern w:val="3"/>
          <w:sz w:val="24"/>
          <w:szCs w:val="24"/>
          <w:shd w:val="clear" w:color="auto" w:fill="FFFFFF"/>
          <w:lang w:eastAsia="it-IT"/>
        </w:rPr>
        <w:t xml:space="preserve">   </w:t>
      </w:r>
      <w:r w:rsidRPr="006C682B">
        <w:rPr>
          <w:rFonts w:eastAsia="Times New Roman" w:cstheme="minorHAnsi"/>
          <w:kern w:val="3"/>
          <w:sz w:val="24"/>
          <w:szCs w:val="24"/>
          <w:shd w:val="clear" w:color="auto" w:fill="FFFFFF"/>
          <w:lang w:eastAsia="it-IT"/>
        </w:rPr>
        <w:t xml:space="preserve">di trovarsi in relazione di </w:t>
      </w:r>
      <w:r w:rsidRPr="006C682B">
        <w:rPr>
          <w:rFonts w:eastAsia="Times New Roman" w:cstheme="minorHAnsi"/>
          <w:i/>
          <w:kern w:val="3"/>
          <w:sz w:val="24"/>
          <w:szCs w:val="24"/>
          <w:shd w:val="clear" w:color="auto" w:fill="FFFFFF"/>
          <w:lang w:eastAsia="it-IT"/>
        </w:rPr>
        <w:t>(barrare la cesella di interesse)</w:t>
      </w:r>
      <w:r w:rsidRPr="006C682B">
        <w:rPr>
          <w:rFonts w:eastAsia="Times New Roman" w:cstheme="minorHAnsi"/>
          <w:kern w:val="3"/>
          <w:sz w:val="24"/>
          <w:szCs w:val="24"/>
          <w:shd w:val="clear" w:color="auto" w:fill="FFFFFF"/>
          <w:lang w:eastAsia="it-IT"/>
        </w:rPr>
        <w:t>:</w:t>
      </w:r>
    </w:p>
    <w:p w14:paraId="1D7F6411" w14:textId="77777777" w:rsidR="006C682B" w:rsidRPr="006C682B" w:rsidRDefault="006C682B" w:rsidP="006C682B">
      <w:pPr>
        <w:widowControl w:val="0"/>
        <w:numPr>
          <w:ilvl w:val="0"/>
          <w:numId w:val="2"/>
        </w:numPr>
        <w:suppressAutoHyphens/>
        <w:autoSpaceDN w:val="0"/>
        <w:spacing w:before="120" w:after="120" w:line="240" w:lineRule="auto"/>
        <w:jc w:val="both"/>
        <w:textAlignment w:val="baseline"/>
        <w:rPr>
          <w:rFonts w:eastAsia="Times New Roman" w:cstheme="minorHAnsi"/>
          <w:kern w:val="3"/>
          <w:sz w:val="24"/>
          <w:szCs w:val="24"/>
          <w:shd w:val="clear" w:color="auto" w:fill="FFFFFF"/>
          <w:lang w:eastAsia="it-IT"/>
        </w:rPr>
      </w:pPr>
      <w:r w:rsidRPr="006C682B">
        <w:rPr>
          <w:rFonts w:eastAsia="Times New Roman" w:cstheme="minorHAnsi"/>
          <w:kern w:val="3"/>
          <w:sz w:val="24"/>
          <w:szCs w:val="24"/>
          <w:shd w:val="clear" w:color="auto" w:fill="FFFFFF"/>
          <w:lang w:eastAsia="it-IT"/>
        </w:rPr>
        <w:t xml:space="preserve">parentela o affinità entro il: </w:t>
      </w:r>
    </w:p>
    <w:p w14:paraId="3B2E930D" w14:textId="1BA7CE81" w:rsidR="006C682B" w:rsidRPr="006C682B" w:rsidRDefault="006C682B" w:rsidP="006C682B">
      <w:pPr>
        <w:widowControl w:val="0"/>
        <w:suppressAutoHyphens/>
        <w:autoSpaceDN w:val="0"/>
        <w:spacing w:before="120" w:after="120" w:line="240" w:lineRule="auto"/>
        <w:ind w:left="10" w:hanging="10"/>
        <w:jc w:val="both"/>
        <w:textAlignment w:val="baseline"/>
        <w:rPr>
          <w:rFonts w:eastAsia="Times New Roman" w:cstheme="minorHAnsi"/>
          <w:kern w:val="3"/>
          <w:sz w:val="24"/>
          <w:szCs w:val="24"/>
          <w:shd w:val="clear" w:color="auto" w:fill="FFFFFF"/>
          <w:lang w:eastAsia="it-IT"/>
        </w:rPr>
      </w:pPr>
      <w:proofErr w:type="gramStart"/>
      <w:r w:rsidRPr="006C682B">
        <w:rPr>
          <w:rFonts w:eastAsia="Times New Roman" w:cstheme="minorHAnsi"/>
          <w:kern w:val="3"/>
          <w:sz w:val="24"/>
          <w:szCs w:val="24"/>
          <w:shd w:val="clear" w:color="auto" w:fill="FFFFFF"/>
          <w:lang w:eastAsia="it-IT"/>
        </w:rPr>
        <w:t>I</w:t>
      </w:r>
      <w:r w:rsidR="00C22D77">
        <w:rPr>
          <w:rFonts w:eastAsia="Times New Roman" w:cstheme="minorHAnsi"/>
          <w:kern w:val="3"/>
          <w:sz w:val="24"/>
          <w:szCs w:val="24"/>
          <w:shd w:val="clear" w:color="auto" w:fill="FFFFFF"/>
          <w:lang w:eastAsia="it-IT"/>
        </w:rPr>
        <w:t xml:space="preserve"> </w:t>
      </w:r>
      <w:r w:rsidRPr="006C682B">
        <w:rPr>
          <w:rFonts w:eastAsia="Times New Roman" w:cstheme="minorHAnsi"/>
          <w:kern w:val="3"/>
          <w:sz w:val="24"/>
          <w:szCs w:val="24"/>
          <w:shd w:val="clear" w:color="auto" w:fill="FFFFFF"/>
          <w:lang w:eastAsia="it-IT"/>
        </w:rPr>
        <w:t>grado</w:t>
      </w:r>
      <w:proofErr w:type="gramEnd"/>
      <w:r w:rsidRPr="006C682B">
        <w:rPr>
          <w:rFonts w:eastAsia="Times New Roman" w:cstheme="minorHAnsi"/>
          <w:kern w:val="3"/>
          <w:sz w:val="24"/>
          <w:szCs w:val="24"/>
          <w:shd w:val="clear" w:color="auto" w:fill="FFFFFF"/>
          <w:lang w:eastAsia="it-IT"/>
        </w:rPr>
        <w:t xml:space="preserve">: (Figlio/a; genitore; suocero/a; genero; nuora)  </w:t>
      </w:r>
    </w:p>
    <w:p w14:paraId="04CC4061" w14:textId="77777777" w:rsidR="006C682B" w:rsidRPr="006C682B" w:rsidRDefault="006C682B" w:rsidP="006C682B">
      <w:pPr>
        <w:widowControl w:val="0"/>
        <w:suppressAutoHyphens/>
        <w:autoSpaceDN w:val="0"/>
        <w:spacing w:before="120" w:after="120" w:line="240" w:lineRule="auto"/>
        <w:ind w:left="10" w:hanging="10"/>
        <w:jc w:val="both"/>
        <w:textAlignment w:val="baseline"/>
        <w:rPr>
          <w:rFonts w:eastAsia="Times New Roman" w:cstheme="minorHAnsi"/>
          <w:kern w:val="3"/>
          <w:sz w:val="24"/>
          <w:szCs w:val="24"/>
          <w:shd w:val="clear" w:color="auto" w:fill="FFFFFF"/>
          <w:lang w:eastAsia="it-IT"/>
        </w:rPr>
      </w:pPr>
      <w:r w:rsidRPr="006C682B">
        <w:rPr>
          <w:rFonts w:eastAsia="Times New Roman" w:cstheme="minorHAnsi"/>
          <w:kern w:val="3"/>
          <w:sz w:val="24"/>
          <w:szCs w:val="24"/>
          <w:shd w:val="clear" w:color="auto" w:fill="FFFFFF"/>
          <w:lang w:eastAsia="it-IT"/>
        </w:rPr>
        <w:t xml:space="preserve">II grado: (Fratello; sorella; nipote; nonno/a; fratello/sorella della moglie; fratello/sorella del marito)  </w:t>
      </w:r>
    </w:p>
    <w:p w14:paraId="2ACE76DF" w14:textId="77777777" w:rsidR="006C682B" w:rsidRPr="006C682B" w:rsidRDefault="006C682B" w:rsidP="006C682B">
      <w:pPr>
        <w:widowControl w:val="0"/>
        <w:numPr>
          <w:ilvl w:val="1"/>
          <w:numId w:val="2"/>
        </w:numPr>
        <w:suppressAutoHyphens/>
        <w:autoSpaceDN w:val="0"/>
        <w:spacing w:before="120" w:after="120" w:line="240" w:lineRule="auto"/>
        <w:jc w:val="both"/>
        <w:textAlignment w:val="baseline"/>
        <w:rPr>
          <w:rFonts w:eastAsia="Times New Roman" w:cstheme="minorHAnsi"/>
          <w:kern w:val="3"/>
          <w:sz w:val="24"/>
          <w:szCs w:val="24"/>
          <w:shd w:val="clear" w:color="auto" w:fill="FFFFFF"/>
          <w:lang w:eastAsia="it-IT"/>
        </w:rPr>
      </w:pPr>
      <w:r w:rsidRPr="006C682B">
        <w:rPr>
          <w:rFonts w:eastAsia="Times New Roman" w:cstheme="minorHAnsi"/>
          <w:kern w:val="3"/>
          <w:sz w:val="24"/>
          <w:szCs w:val="24"/>
          <w:shd w:val="clear" w:color="auto" w:fill="FFFFFF"/>
          <w:lang w:eastAsia="it-IT"/>
        </w:rPr>
        <w:t xml:space="preserve">coniugio  </w:t>
      </w:r>
    </w:p>
    <w:p w14:paraId="4DB3143D" w14:textId="77777777" w:rsidR="006C682B" w:rsidRPr="006C682B" w:rsidRDefault="006C682B" w:rsidP="006C682B">
      <w:pPr>
        <w:widowControl w:val="0"/>
        <w:numPr>
          <w:ilvl w:val="1"/>
          <w:numId w:val="2"/>
        </w:numPr>
        <w:suppressAutoHyphens/>
        <w:autoSpaceDN w:val="0"/>
        <w:spacing w:before="120" w:after="120" w:line="240" w:lineRule="auto"/>
        <w:jc w:val="both"/>
        <w:textAlignment w:val="baseline"/>
        <w:rPr>
          <w:rFonts w:eastAsia="Times New Roman" w:cstheme="minorHAnsi"/>
          <w:kern w:val="3"/>
          <w:sz w:val="24"/>
          <w:szCs w:val="24"/>
          <w:shd w:val="clear" w:color="auto" w:fill="FFFFFF"/>
          <w:lang w:eastAsia="it-IT"/>
        </w:rPr>
      </w:pPr>
      <w:r w:rsidRPr="006C682B">
        <w:rPr>
          <w:rFonts w:eastAsia="Times New Roman" w:cstheme="minorHAnsi"/>
          <w:kern w:val="3"/>
          <w:sz w:val="24"/>
          <w:szCs w:val="24"/>
          <w:shd w:val="clear" w:color="auto" w:fill="FFFFFF"/>
          <w:lang w:eastAsia="it-IT"/>
        </w:rPr>
        <w:t xml:space="preserve">convivenza  </w:t>
      </w:r>
    </w:p>
    <w:p w14:paraId="6A1C5015" w14:textId="77777777" w:rsidR="006C682B" w:rsidRPr="006C682B" w:rsidRDefault="006C682B" w:rsidP="006C682B">
      <w:pPr>
        <w:widowControl w:val="0"/>
        <w:suppressAutoHyphens/>
        <w:autoSpaceDN w:val="0"/>
        <w:spacing w:before="120" w:after="120" w:line="240" w:lineRule="auto"/>
        <w:ind w:left="10" w:hanging="10"/>
        <w:jc w:val="both"/>
        <w:textAlignment w:val="baseline"/>
        <w:rPr>
          <w:rFonts w:eastAsia="Times New Roman" w:cstheme="minorHAnsi"/>
          <w:kern w:val="3"/>
          <w:sz w:val="24"/>
          <w:szCs w:val="24"/>
          <w:shd w:val="clear" w:color="auto" w:fill="FFFFFF"/>
          <w:lang w:eastAsia="it-IT"/>
        </w:rPr>
      </w:pPr>
      <w:r w:rsidRPr="006C682B">
        <w:rPr>
          <w:rFonts w:eastAsia="Times New Roman" w:cstheme="minorHAnsi"/>
          <w:kern w:val="3"/>
          <w:sz w:val="24"/>
          <w:szCs w:val="24"/>
          <w:shd w:val="clear" w:color="auto" w:fill="FFFFFF"/>
          <w:lang w:eastAsia="it-IT"/>
        </w:rPr>
        <w:t xml:space="preserve">con il dirigente/dipendente __________________________________ </w:t>
      </w:r>
    </w:p>
    <w:p w14:paraId="5B39335B" w14:textId="77777777" w:rsidR="006C682B" w:rsidRPr="006C682B" w:rsidRDefault="006C682B" w:rsidP="006C682B">
      <w:pPr>
        <w:widowControl w:val="0"/>
        <w:suppressAutoHyphens/>
        <w:autoSpaceDN w:val="0"/>
        <w:spacing w:before="120" w:after="120" w:line="240" w:lineRule="auto"/>
        <w:ind w:left="10" w:hanging="10"/>
        <w:jc w:val="both"/>
        <w:textAlignment w:val="baseline"/>
        <w:rPr>
          <w:rFonts w:eastAsia="Times New Roman" w:cstheme="minorHAnsi"/>
          <w:kern w:val="3"/>
          <w:sz w:val="24"/>
          <w:szCs w:val="24"/>
          <w:shd w:val="clear" w:color="auto" w:fill="FFFFFF"/>
          <w:lang w:eastAsia="it-IT"/>
        </w:rPr>
      </w:pPr>
    </w:p>
    <w:p w14:paraId="3C742252" w14:textId="77777777" w:rsidR="006C682B" w:rsidRPr="006C682B" w:rsidRDefault="006C682B" w:rsidP="006C682B">
      <w:pPr>
        <w:widowControl w:val="0"/>
        <w:numPr>
          <w:ilvl w:val="0"/>
          <w:numId w:val="1"/>
        </w:numPr>
        <w:suppressAutoHyphens/>
        <w:autoSpaceDN w:val="0"/>
        <w:spacing w:before="120" w:after="120" w:line="240" w:lineRule="auto"/>
        <w:ind w:left="426"/>
        <w:jc w:val="both"/>
        <w:textAlignment w:val="baseline"/>
        <w:rPr>
          <w:rFonts w:eastAsia="Times New Roman" w:cstheme="minorHAnsi"/>
          <w:kern w:val="3"/>
          <w:sz w:val="24"/>
          <w:szCs w:val="24"/>
          <w:shd w:val="clear" w:color="auto" w:fill="FFFFFF"/>
          <w:lang w:eastAsia="it-IT"/>
        </w:rPr>
      </w:pPr>
      <w:r w:rsidRPr="006C682B">
        <w:rPr>
          <w:rFonts w:eastAsia="Times New Roman" w:cstheme="minorHAnsi"/>
          <w:kern w:val="3"/>
          <w:sz w:val="24"/>
          <w:szCs w:val="24"/>
          <w:shd w:val="clear" w:color="auto" w:fill="FFFFFF"/>
          <w:lang w:eastAsia="it-IT"/>
        </w:rPr>
        <w:t>(riportare l’opzione riferita alla posizione dell’operatore economico) di essere in regola con le disposizioni che disciplinano il diritto al lavoro dei disabili, recate dalla Legge 12 marzo 1999 n. 68, e che tale situazione di ottemperanza può essere certificata dal competente ufficio provinciale di __________________________________</w:t>
      </w:r>
    </w:p>
    <w:p w14:paraId="4E556BB8" w14:textId="77777777" w:rsidR="006C682B" w:rsidRPr="006C682B" w:rsidRDefault="006C682B" w:rsidP="006C682B">
      <w:pPr>
        <w:widowControl w:val="0"/>
        <w:suppressAutoHyphens/>
        <w:autoSpaceDN w:val="0"/>
        <w:spacing w:before="120" w:after="120" w:line="240" w:lineRule="auto"/>
        <w:ind w:left="10" w:hanging="10"/>
        <w:jc w:val="both"/>
        <w:textAlignment w:val="baseline"/>
        <w:rPr>
          <w:rFonts w:eastAsia="Times New Roman" w:cstheme="minorHAnsi"/>
          <w:i/>
          <w:kern w:val="3"/>
          <w:sz w:val="24"/>
          <w:szCs w:val="24"/>
          <w:shd w:val="clear" w:color="auto" w:fill="FFFFFF"/>
          <w:lang w:eastAsia="it-IT"/>
        </w:rPr>
      </w:pPr>
      <w:r w:rsidRPr="006C682B">
        <w:rPr>
          <w:rFonts w:eastAsia="Times New Roman" w:cstheme="minorHAnsi"/>
          <w:i/>
          <w:kern w:val="3"/>
          <w:sz w:val="24"/>
          <w:szCs w:val="24"/>
          <w:shd w:val="clear" w:color="auto" w:fill="FFFFFF"/>
          <w:lang w:eastAsia="it-IT"/>
        </w:rPr>
        <w:t>oppure</w:t>
      </w:r>
    </w:p>
    <w:p w14:paraId="3E125A12" w14:textId="0663F782" w:rsidR="006C682B" w:rsidRPr="006C682B" w:rsidRDefault="006C682B" w:rsidP="006C682B">
      <w:pPr>
        <w:widowControl w:val="0"/>
        <w:suppressAutoHyphens/>
        <w:autoSpaceDN w:val="0"/>
        <w:spacing w:before="120" w:after="120" w:line="240" w:lineRule="auto"/>
        <w:ind w:left="10" w:hanging="10"/>
        <w:jc w:val="both"/>
        <w:textAlignment w:val="baseline"/>
        <w:rPr>
          <w:rFonts w:eastAsia="Times New Roman" w:cstheme="minorHAnsi"/>
          <w:i/>
          <w:iCs/>
          <w:kern w:val="3"/>
          <w:sz w:val="24"/>
          <w:szCs w:val="24"/>
          <w:shd w:val="clear" w:color="auto" w:fill="FFFFFF"/>
          <w:lang w:eastAsia="it-IT"/>
        </w:rPr>
      </w:pPr>
      <w:r w:rsidRPr="006C682B">
        <w:rPr>
          <w:rFonts w:eastAsia="Times New Roman" w:cstheme="minorHAnsi"/>
          <w:kern w:val="3"/>
          <w:sz w:val="24"/>
          <w:szCs w:val="24"/>
          <w:shd w:val="clear" w:color="auto" w:fill="FFFFFF"/>
          <w:lang w:eastAsia="it-IT"/>
        </w:rPr>
        <w:t xml:space="preserve">che l’operatore economico non è assoggettato alle disposizioni che disciplinano il diritto al lavoro dei disabili, di cui alla </w:t>
      </w:r>
      <w:r w:rsidR="00C22D77">
        <w:rPr>
          <w:rFonts w:eastAsia="Times New Roman" w:cstheme="minorHAnsi"/>
          <w:kern w:val="3"/>
          <w:sz w:val="24"/>
          <w:szCs w:val="24"/>
          <w:shd w:val="clear" w:color="auto" w:fill="FFFFFF"/>
          <w:lang w:eastAsia="it-IT"/>
        </w:rPr>
        <w:t>L</w:t>
      </w:r>
      <w:r w:rsidRPr="006C682B">
        <w:rPr>
          <w:rFonts w:eastAsia="Times New Roman" w:cstheme="minorHAnsi"/>
          <w:kern w:val="3"/>
          <w:sz w:val="24"/>
          <w:szCs w:val="24"/>
          <w:shd w:val="clear" w:color="auto" w:fill="FFFFFF"/>
          <w:lang w:eastAsia="it-IT"/>
        </w:rPr>
        <w:t xml:space="preserve">egge 12/3/1999 n. 68, in quanto </w:t>
      </w:r>
      <w:r w:rsidRPr="006C682B">
        <w:rPr>
          <w:rFonts w:eastAsia="Times New Roman" w:cstheme="minorHAnsi"/>
          <w:i/>
          <w:iCs/>
          <w:kern w:val="3"/>
          <w:sz w:val="24"/>
          <w:szCs w:val="24"/>
          <w:shd w:val="clear" w:color="auto" w:fill="FFFFFF"/>
          <w:lang w:eastAsia="it-IT"/>
        </w:rPr>
        <w:t xml:space="preserve">_________________________________ </w:t>
      </w:r>
      <w:r w:rsidRPr="006C682B">
        <w:rPr>
          <w:rFonts w:eastAsia="Times New Roman" w:cstheme="minorHAnsi"/>
          <w:kern w:val="3"/>
          <w:sz w:val="24"/>
          <w:szCs w:val="24"/>
          <w:shd w:val="clear" w:color="auto" w:fill="FFFFFF"/>
          <w:lang w:eastAsia="it-IT"/>
        </w:rPr>
        <w:t>(</w:t>
      </w:r>
      <w:r w:rsidRPr="006C682B">
        <w:rPr>
          <w:rFonts w:eastAsia="Times New Roman" w:cstheme="minorHAnsi"/>
          <w:i/>
          <w:iCs/>
          <w:kern w:val="3"/>
          <w:sz w:val="24"/>
          <w:szCs w:val="24"/>
          <w:shd w:val="clear" w:color="auto" w:fill="FFFFFF"/>
          <w:lang w:eastAsia="it-IT"/>
        </w:rPr>
        <w:t>precisare le ragioni di non assoggettabilità)</w:t>
      </w:r>
      <w:r w:rsidR="007E26DE">
        <w:rPr>
          <w:rFonts w:eastAsia="Times New Roman" w:cstheme="minorHAnsi"/>
          <w:i/>
          <w:iCs/>
          <w:kern w:val="3"/>
          <w:sz w:val="24"/>
          <w:szCs w:val="24"/>
          <w:shd w:val="clear" w:color="auto" w:fill="FFFFFF"/>
          <w:lang w:eastAsia="it-IT"/>
        </w:rPr>
        <w:t>.</w:t>
      </w:r>
    </w:p>
    <w:p w14:paraId="179C9C31" w14:textId="4939BBE3" w:rsidR="006C682B" w:rsidRDefault="006C682B" w:rsidP="006C682B"/>
    <w:p w14:paraId="46E9D027" w14:textId="12E33619" w:rsidR="008531B9" w:rsidRDefault="008531B9" w:rsidP="006C682B"/>
    <w:p w14:paraId="319F0CF6" w14:textId="3DC115D4" w:rsidR="008531B9" w:rsidRDefault="008531B9" w:rsidP="006C682B"/>
    <w:p w14:paraId="336F4567" w14:textId="4EC63CA9" w:rsidR="008531B9" w:rsidRDefault="008531B9" w:rsidP="006C682B"/>
    <w:p w14:paraId="2611FABC" w14:textId="1ACCC1E3" w:rsidR="008531B9" w:rsidRDefault="008531B9" w:rsidP="006C682B"/>
    <w:p w14:paraId="3C36CECC" w14:textId="1DA83DD4" w:rsidR="008531B9" w:rsidRDefault="008531B9" w:rsidP="006C682B"/>
    <w:p w14:paraId="5A58C010" w14:textId="77777777" w:rsidR="008531B9" w:rsidRDefault="008531B9" w:rsidP="006C682B"/>
    <w:sectPr w:rsidR="008531B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600EA" w14:textId="77777777" w:rsidR="00032D8C" w:rsidRDefault="00032D8C" w:rsidP="006C682B">
      <w:pPr>
        <w:spacing w:after="0" w:line="240" w:lineRule="auto"/>
      </w:pPr>
      <w:r>
        <w:separator/>
      </w:r>
    </w:p>
  </w:endnote>
  <w:endnote w:type="continuationSeparator" w:id="0">
    <w:p w14:paraId="3B588D53" w14:textId="77777777" w:rsidR="00032D8C" w:rsidRDefault="00032D8C" w:rsidP="006C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67118" w14:textId="77777777" w:rsidR="00032D8C" w:rsidRDefault="00032D8C" w:rsidP="006C682B">
      <w:pPr>
        <w:spacing w:after="0" w:line="240" w:lineRule="auto"/>
      </w:pPr>
      <w:r>
        <w:separator/>
      </w:r>
    </w:p>
  </w:footnote>
  <w:footnote w:type="continuationSeparator" w:id="0">
    <w:p w14:paraId="76D3DE16" w14:textId="77777777" w:rsidR="00032D8C" w:rsidRDefault="00032D8C" w:rsidP="006C682B">
      <w:pPr>
        <w:spacing w:after="0" w:line="240" w:lineRule="auto"/>
      </w:pPr>
      <w:r>
        <w:continuationSeparator/>
      </w:r>
    </w:p>
  </w:footnote>
  <w:footnote w:id="1">
    <w:p w14:paraId="7084B80D" w14:textId="77777777" w:rsidR="006C682B" w:rsidRDefault="006C682B" w:rsidP="006C682B">
      <w:pPr>
        <w:pStyle w:val="Testonotaapidipagina"/>
        <w:rPr>
          <w:rFonts w:ascii="Calibri" w:hAnsi="Calibri"/>
        </w:rPr>
      </w:pPr>
      <w:r>
        <w:rPr>
          <w:rStyle w:val="Rimandonotaapidipagina"/>
        </w:rPr>
        <w:footnoteRef/>
      </w:r>
      <w:r>
        <w:t xml:space="preserve"> </w:t>
      </w:r>
      <w:r>
        <w:rPr>
          <w:rFonts w:ascii="Calibri" w:hAnsi="Calibri"/>
        </w:rPr>
        <w:t xml:space="preserve">L’affinità è il vincolo tra un coniuge e i parenti dell’altro coniuge (art. 78 c.c.)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4402D"/>
    <w:multiLevelType w:val="hybridMultilevel"/>
    <w:tmpl w:val="316E9C16"/>
    <w:lvl w:ilvl="0" w:tplc="71647F96">
      <w:start w:val="3"/>
      <w:numFmt w:val="bullet"/>
      <w:lvlText w:val="-"/>
      <w:lvlJc w:val="left"/>
      <w:pPr>
        <w:ind w:left="1068" w:hanging="360"/>
      </w:pPr>
      <w:rPr>
        <w:rFonts w:ascii="Calibri" w:eastAsia="Calibri" w:hAnsi="Calibri" w:cs="Aria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15:restartNumberingAfterBreak="0">
    <w:nsid w:val="6CD43CDA"/>
    <w:multiLevelType w:val="hybridMultilevel"/>
    <w:tmpl w:val="B87ADA26"/>
    <w:lvl w:ilvl="0" w:tplc="8676D910">
      <w:start w:val="1"/>
      <w:numFmt w:val="lowerLetter"/>
      <w:lvlText w:val="%1)"/>
      <w:lvlJc w:val="left"/>
      <w:pPr>
        <w:ind w:left="1353" w:hanging="360"/>
      </w:pPr>
      <w:rPr>
        <w:i w:val="0"/>
      </w:rPr>
    </w:lvl>
    <w:lvl w:ilvl="1" w:tplc="04100019">
      <w:start w:val="1"/>
      <w:numFmt w:val="lowerLetter"/>
      <w:lvlText w:val="%2."/>
      <w:lvlJc w:val="left"/>
      <w:pPr>
        <w:ind w:left="2073" w:hanging="360"/>
      </w:pPr>
    </w:lvl>
    <w:lvl w:ilvl="2" w:tplc="0410001B">
      <w:start w:val="1"/>
      <w:numFmt w:val="lowerRoman"/>
      <w:lvlText w:val="%3."/>
      <w:lvlJc w:val="right"/>
      <w:pPr>
        <w:ind w:left="2793" w:hanging="180"/>
      </w:pPr>
    </w:lvl>
    <w:lvl w:ilvl="3" w:tplc="0410000F">
      <w:start w:val="1"/>
      <w:numFmt w:val="decimal"/>
      <w:lvlText w:val="%4."/>
      <w:lvlJc w:val="left"/>
      <w:pPr>
        <w:ind w:left="3513" w:hanging="360"/>
      </w:pPr>
    </w:lvl>
    <w:lvl w:ilvl="4" w:tplc="04100019">
      <w:start w:val="1"/>
      <w:numFmt w:val="lowerLetter"/>
      <w:lvlText w:val="%5."/>
      <w:lvlJc w:val="left"/>
      <w:pPr>
        <w:ind w:left="4233" w:hanging="360"/>
      </w:pPr>
    </w:lvl>
    <w:lvl w:ilvl="5" w:tplc="0410001B">
      <w:start w:val="1"/>
      <w:numFmt w:val="lowerRoman"/>
      <w:lvlText w:val="%6."/>
      <w:lvlJc w:val="right"/>
      <w:pPr>
        <w:ind w:left="4953" w:hanging="180"/>
      </w:pPr>
    </w:lvl>
    <w:lvl w:ilvl="6" w:tplc="0410000F">
      <w:start w:val="1"/>
      <w:numFmt w:val="decimal"/>
      <w:lvlText w:val="%7."/>
      <w:lvlJc w:val="left"/>
      <w:pPr>
        <w:ind w:left="5673" w:hanging="360"/>
      </w:pPr>
    </w:lvl>
    <w:lvl w:ilvl="7" w:tplc="04100019">
      <w:start w:val="1"/>
      <w:numFmt w:val="lowerLetter"/>
      <w:lvlText w:val="%8."/>
      <w:lvlJc w:val="left"/>
      <w:pPr>
        <w:ind w:left="6393" w:hanging="360"/>
      </w:pPr>
    </w:lvl>
    <w:lvl w:ilvl="8" w:tplc="0410001B">
      <w:start w:val="1"/>
      <w:numFmt w:val="lowerRoman"/>
      <w:lvlText w:val="%9."/>
      <w:lvlJc w:val="right"/>
      <w:pPr>
        <w:ind w:left="711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94"/>
    <w:rsid w:val="00032D8C"/>
    <w:rsid w:val="006C682B"/>
    <w:rsid w:val="007E26DE"/>
    <w:rsid w:val="008531B9"/>
    <w:rsid w:val="008D6494"/>
    <w:rsid w:val="009D7F3B"/>
    <w:rsid w:val="00A07938"/>
    <w:rsid w:val="00AE332E"/>
    <w:rsid w:val="00C22D77"/>
    <w:rsid w:val="00D16C84"/>
    <w:rsid w:val="00D32138"/>
    <w:rsid w:val="00E82F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68CF"/>
  <w15:chartTrackingRefBased/>
  <w15:docId w15:val="{597B5B0A-73D4-43F9-A8C5-17442522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C682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C682B"/>
    <w:rPr>
      <w:sz w:val="20"/>
      <w:szCs w:val="20"/>
    </w:rPr>
  </w:style>
  <w:style w:type="character" w:styleId="Rimandonotaapidipagina">
    <w:name w:val="footnote reference"/>
    <w:uiPriority w:val="99"/>
    <w:rsid w:val="006C682B"/>
    <w:rPr>
      <w:vertAlign w:val="superscript"/>
    </w:rPr>
  </w:style>
  <w:style w:type="paragraph" w:styleId="Testofumetto">
    <w:name w:val="Balloon Text"/>
    <w:basedOn w:val="Normale"/>
    <w:link w:val="TestofumettoCarattere"/>
    <w:uiPriority w:val="99"/>
    <w:semiHidden/>
    <w:unhideWhenUsed/>
    <w:rsid w:val="00C22D7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2D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Paselli Francesca</dc:creator>
  <cp:keywords/>
  <dc:description/>
  <cp:lastModifiedBy>Di Donato Giuditta Laura</cp:lastModifiedBy>
  <cp:revision>2</cp:revision>
  <dcterms:created xsi:type="dcterms:W3CDTF">2019-05-23T14:57:00Z</dcterms:created>
  <dcterms:modified xsi:type="dcterms:W3CDTF">2019-05-23T14:57:00Z</dcterms:modified>
</cp:coreProperties>
</file>