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4C5" w:rsidRDefault="001C04C5" w:rsidP="00B36327">
      <w:r>
        <w:rPr>
          <w:rFonts w:ascii="Verdana" w:hAnsi="Verdana"/>
          <w:b/>
          <w:bCs/>
          <w:color w:val="000000"/>
          <w:sz w:val="18"/>
          <w:lang w:eastAsia="it-IT"/>
        </w:rPr>
        <w:t xml:space="preserve">Tratto da </w:t>
      </w:r>
      <w:hyperlink r:id="rId4" w:history="1">
        <w:r w:rsidRPr="00193EA6">
          <w:rPr>
            <w:rStyle w:val="Hyperlink"/>
          </w:rPr>
          <w:t>http://www.associazionedeicostituzionalisti.it/</w:t>
        </w:r>
      </w:hyperlink>
    </w:p>
    <w:p w:rsidR="001C04C5" w:rsidRDefault="001C04C5" w:rsidP="00B36327">
      <w:pPr>
        <w:spacing w:before="100" w:beforeAutospacing="1" w:after="0" w:line="240" w:lineRule="auto"/>
        <w:rPr>
          <w:rFonts w:ascii="Verdana" w:hAnsi="Verdana"/>
          <w:b/>
          <w:bCs/>
          <w:color w:val="000000"/>
          <w:sz w:val="18"/>
          <w:lang w:eastAsia="it-IT"/>
        </w:rPr>
      </w:pP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b/>
          <w:bCs/>
          <w:color w:val="000000"/>
          <w:sz w:val="18"/>
          <w:lang w:eastAsia="it-IT"/>
        </w:rPr>
        <w:t>La natura amministrativa degli organi di garanzia statutaria e delle relative decisioni: la Corte costituzionale infrange il sogno di un’Alta corte per la regione calabrese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ROBERTO ROMBOLI</w:t>
      </w:r>
      <w:r w:rsidRPr="00B36327">
        <w:rPr>
          <w:rFonts w:ascii="Verdana" w:hAnsi="Verdana"/>
          <w:color w:val="000000"/>
          <w:sz w:val="18"/>
          <w:szCs w:val="18"/>
          <w:lang w:eastAsia="it-IT"/>
        </w:rPr>
        <w:br/>
        <w:t xml:space="preserve">(Professore ordinario di Istituzioni di Diritto costituzionale nell'Università di Pisa)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b/>
          <w:bCs/>
          <w:color w:val="000000"/>
          <w:sz w:val="18"/>
          <w:lang w:eastAsia="it-IT"/>
        </w:rPr>
        <w:t xml:space="preserve">(*) in corso di pubblicazione in Foro it., 2009, I,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1. Con la pronuncia in epigrafe la Corte costituzionale viene a fornire ulteriori, utili indicazioni in ordine alla identificazione del ruolo che saranno chiamati a svolgere gli organi di garanzia statutaria previsti da quasi tutti i “nuovi” statuti regionali.</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L’interesse della decisione deriva anche dal fatto che nelle precedenti occasioni la corte aveva esaminato disposizioni statutarie, facendo spesso rinvio alla futura disciplina attuativa che meglio avrebbe delineato il concreto “volto” del nuovo organo, mentre nel caso in esame è proprio la legge regionale attuativa ad essere oggetto della questione di costituzionalità proposta in via diretta dal governo.</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La legge calabrese (l. reg. 5 gennaio 2007 n. 2) distingue, sull’esempio dell’esperienza spagnola, tra una funzione di garanzia ed una di consulenza della Consulta statutaria, differenziando allo scopo anche il tipo di pronuncia (</w:t>
      </w:r>
      <w:bookmarkStart w:id="0" w:name="_ftnref1"/>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"_ftn1"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[1]</w:t>
      </w:r>
      <w:r w:rsidRPr="00B36327">
        <w:rPr>
          <w:rFonts w:ascii="Verdana" w:hAnsi="Verdana"/>
          <w:color w:val="000000"/>
          <w:sz w:val="18"/>
          <w:szCs w:val="18"/>
          <w:lang w:eastAsia="it-IT"/>
        </w:rPr>
        <w:fldChar w:fldCharType="end"/>
      </w:r>
      <w:bookmarkEnd w:id="0"/>
      <w:r w:rsidRPr="00B36327">
        <w:rPr>
          <w:rFonts w:ascii="Verdana" w:hAnsi="Verdana"/>
          <w:color w:val="000000"/>
          <w:sz w:val="18"/>
          <w:szCs w:val="18"/>
          <w:lang w:eastAsia="it-IT"/>
        </w:rPr>
        <w:t>) e mostra abbastanza chiaramente di ispirarsi al modello di un Giudice costituzionale e di pensare quindi ad una sorta di Alta corte per la regione calabrese.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Nel delineare lo </w:t>
      </w:r>
      <w:r w:rsidRPr="00B36327">
        <w:rPr>
          <w:rFonts w:ascii="Verdana" w:hAnsi="Verdana"/>
          <w:i/>
          <w:iCs/>
          <w:color w:val="000000"/>
          <w:sz w:val="18"/>
          <w:lang w:eastAsia="it-IT"/>
        </w:rPr>
        <w:t>status</w:t>
      </w:r>
      <w:r w:rsidRPr="00B36327">
        <w:rPr>
          <w:rFonts w:ascii="Verdana" w:hAnsi="Verdana"/>
          <w:color w:val="000000"/>
          <w:sz w:val="18"/>
          <w:szCs w:val="18"/>
          <w:lang w:eastAsia="it-IT"/>
        </w:rPr>
        <w:t xml:space="preserve"> dei futuri membri della Consulta è infatti prevista l’immunità per voti dati e opinioni espresse nell’esercizio delle funzioni (dichiarata incostituzionale dalla sentenza in esame), la possibilità di opinioni dissenzienti e concorrenti, il divieto di astensione e l’ipotesi di conflitto di interessi, una retribuzione equivalente a quella iniziale di magistrato di cassazione dichiarato idoneo alle funzioni direttive superiori (</w:t>
      </w:r>
      <w:bookmarkStart w:id="1" w:name="_ftnref2"/>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"_ftn2"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[2]</w:t>
      </w:r>
      <w:r w:rsidRPr="00B36327">
        <w:rPr>
          <w:rFonts w:ascii="Verdana" w:hAnsi="Verdana"/>
          <w:color w:val="000000"/>
          <w:sz w:val="18"/>
          <w:szCs w:val="18"/>
          <w:lang w:eastAsia="it-IT"/>
        </w:rPr>
        <w:fldChar w:fldCharType="end"/>
      </w:r>
      <w:bookmarkEnd w:id="1"/>
      <w:r w:rsidRPr="00B36327">
        <w:rPr>
          <w:rFonts w:ascii="Verdana" w:hAnsi="Verdana"/>
          <w:color w:val="000000"/>
          <w:sz w:val="18"/>
          <w:szCs w:val="18"/>
          <w:lang w:eastAsia="it-IT"/>
        </w:rPr>
        <w:t xml:space="preserve">); nel disciplinare il funzionamento viene operata una distinzione tra “udienza pubblica”, con previsione di una sorta di contraddittorio per le “parti interessate” e “camera di consiglio”; per l’efficacia dei provvedimenti è stabilito che “gli organi regionali, e gli altri soggetti istituzionali interessati, </w:t>
      </w:r>
      <w:r w:rsidRPr="00B36327">
        <w:rPr>
          <w:rFonts w:ascii="Verdana" w:hAnsi="Verdana"/>
          <w:i/>
          <w:iCs/>
          <w:color w:val="000000"/>
          <w:sz w:val="18"/>
          <w:lang w:eastAsia="it-IT"/>
        </w:rPr>
        <w:t>si attengono alle decisioni ed ai pareri della Consulta</w:t>
      </w:r>
      <w:r w:rsidRPr="00B36327">
        <w:rPr>
          <w:rFonts w:ascii="Verdana" w:hAnsi="Verdana"/>
          <w:color w:val="000000"/>
          <w:sz w:val="18"/>
          <w:szCs w:val="18"/>
          <w:lang w:eastAsia="it-IT"/>
        </w:rPr>
        <w:t>”. (</w:t>
      </w:r>
      <w:bookmarkStart w:id="2" w:name="_ftnref3"/>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"_ftn3"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[3]</w:t>
      </w:r>
      <w:r w:rsidRPr="00B36327">
        <w:rPr>
          <w:rFonts w:ascii="Verdana" w:hAnsi="Verdana"/>
          <w:color w:val="000000"/>
          <w:sz w:val="18"/>
          <w:szCs w:val="18"/>
          <w:lang w:eastAsia="it-IT"/>
        </w:rPr>
        <w:fldChar w:fldCharType="end"/>
      </w:r>
      <w:bookmarkEnd w:id="2"/>
      <w:r w:rsidRPr="00B36327">
        <w:rPr>
          <w:rFonts w:ascii="Verdana" w:hAnsi="Verdana"/>
          <w:color w:val="000000"/>
          <w:sz w:val="18"/>
          <w:szCs w:val="18"/>
          <w:lang w:eastAsia="it-IT"/>
        </w:rPr>
        <w:t>)</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Si aggiunga l’ipotesi, invero bizzarra ed assai indecifrabile negli effetti, di una disposizione presente nel progetto di legge per l’attuazione della Consulta statutaria, saggiamente non approvata dal consiglio regionale calabrese, in base alla quale “in ogni caso di deliberazione del consiglio regionale contraria alle valutazioni prese dalla Consulta, ove la violazione statutaria individuata sia lesiva di obblighi internazionali, fonti comunitarie e comunque, direttamente o indirettamente, di prescrizioni costituzionali, la Consulta informa le autorità giudiziarie competenti e i soggetti interessati perché, ove lo ritengano e sia possibile, possano comunque ricorrere alla Corte costituzionale nelle forme previste dall’ordinamento statale”.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2. La Corte costituzionale porta la sua attenzione essenzialmente sul carattere amministrativo o giurisdizionale della Consulta statutaria e, a tal fine, affronta due aspetti tra loro strettamente connessi, vale a dire quello della efficacia delle decisioni e quello del carattere preventivo o successivo del controllo.</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L’efficacia della decisione dell’organo di garanzia statutaria pare discendere dalla ponderazione e bilanciamento tra le esigenze derivanti dal rispetto della rigidità dello statuto e quelle che esprimono il principio della supremazia delle scelte politiche del consiglio regionale, diretta espressione della volontà popolare e in ordine alle possibili soluzioni è opportuno distinguere a seconda del tipo di competenza esercitata ed in specie tra il giudizio sulla “statutarietà” dei progetti di legge o di regolamento e quello sui conflitti di attribuzione.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Circa il primo, la soluzione scelta dagli statuti è risultata diversificata, in modo tale che viene a volte stabilito il solo obbligo di riesame e riapprovazione (Umbria, Basilicata, Toscana e Lombardia) oppure di farlo a maggioranza assoluta (Abruzzo, Lazio) o ancora con motivazione (Emilia-Romagna) o a maggioranza assoluta e con motivazione (Calabria). In certi casi è stabilito che il parere non svolgerà alcuno effetto in assoluto  (Puglia) o solo per il consiglio regionale (Piemonte).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In alcune regioni le leggi di attuazione hanno dettato una specifica ed articolata disciplina del “seguito” da dare al parere, specie se negativo, dell’organo di garanzia statutaria (</w:t>
      </w:r>
      <w:bookmarkStart w:id="3" w:name="_ftnref4"/>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"_ftn4"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[4]</w:t>
      </w:r>
      <w:r w:rsidRPr="00B36327">
        <w:rPr>
          <w:rFonts w:ascii="Verdana" w:hAnsi="Verdana"/>
          <w:color w:val="000000"/>
          <w:sz w:val="18"/>
          <w:szCs w:val="18"/>
          <w:lang w:eastAsia="it-IT"/>
        </w:rPr>
        <w:fldChar w:fldCharType="end"/>
      </w:r>
      <w:bookmarkEnd w:id="3"/>
      <w:r w:rsidRPr="00B36327">
        <w:rPr>
          <w:rFonts w:ascii="Verdana" w:hAnsi="Verdana"/>
          <w:color w:val="000000"/>
          <w:sz w:val="18"/>
          <w:szCs w:val="18"/>
          <w:lang w:eastAsia="it-IT"/>
        </w:rPr>
        <w:t>).</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Per quanto concerne il giudizio sui conflitti, giova rilevare come la legittimazione a proporre lo stesso sia attribuita ai soli soggetti titolari in generale della legittimazione a richiedere l’intervento dell’organo di garanzia, ossia il presidente della giunta e del consiglio regionale, una minoranza consiliare e, in alcuni casi, il consiglio delle autonomie locali, che possono quindi non coincidere con i soggetti che hanno deciso l’atto o tenuto il comportamento contestato.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Si aggiunga inoltre che, nel caso delle consulte statutarie, queste non si pongano come veri “arbitri” risolutori, in un senso o nell’altro, del conflitto, quanto piuttosto come soggetti ausiliari dell’organo politico, al quale si limitano, di regola, a fornire un autorevole parere ed il quale risulta quindi essere il vero giudice del conflitto (</w:t>
      </w:r>
      <w:bookmarkStart w:id="4" w:name="_ftnref5"/>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"_ftn5"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[5]</w:t>
      </w:r>
      <w:r w:rsidRPr="00B36327">
        <w:rPr>
          <w:rFonts w:ascii="Verdana" w:hAnsi="Verdana"/>
          <w:color w:val="000000"/>
          <w:sz w:val="18"/>
          <w:szCs w:val="18"/>
          <w:lang w:eastAsia="it-IT"/>
        </w:rPr>
        <w:fldChar w:fldCharType="end"/>
      </w:r>
      <w:bookmarkEnd w:id="4"/>
      <w:r w:rsidRPr="00B36327">
        <w:rPr>
          <w:rFonts w:ascii="Verdana" w:hAnsi="Verdana"/>
          <w:color w:val="000000"/>
          <w:sz w:val="18"/>
          <w:szCs w:val="18"/>
          <w:lang w:eastAsia="it-IT"/>
        </w:rPr>
        <w:t xml:space="preserve">).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La sola regione Calabria, con la legge impugnata, ha qualificato, come detto, vincolanti per gli organi regionali e gli altri soggetti interessati le decisioni del collegio di garanzia in ordine ai conflitti tra organi regionali e tra organi regionali e enti locali.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La Corte costituzionale con la sentenza in esame ha dichiarato che il carattere vincolante delle decisioni deve mantenersi nell’ambito dell’organizzazione regionale, che comprende tutti gli enti e organi della regione, ma non può estendersi agli enti locali, la cui autonomia è costituzionalmente garantita dall’art. 114, 1° e 2° comma, Cost. In conseguenza di ciò la decisione sull’eventuale conflitto di competenza tra organi regionali ed enti locali (tuttora possibile), pronunciata dalla Consulta statutaria, mentre risulterà vincolante per i primi, non lo sarà più per i secondi.</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b/>
          <w:bCs/>
          <w:color w:val="000000"/>
          <w:sz w:val="18"/>
          <w:lang w:eastAsia="it-IT"/>
        </w:rPr>
        <w:t>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3. Nella decisione in commento, la preoccupazione della Corte costituzionale è pertanto chiaramente quella di porre alcuni principi in ordine a possibili contatti e/o rapporti tra il collegio di garanzia statutaria e gli organi genericamente giurisdizionali (Corte costituzionale e giudici, ordinari o amministrativi), mentre non si pone, e non viene esaminato, il possibile rapporto con l’organo regionale (consiglio, giunta) competente, per dettato costituzionale, ad approvare le leggi o i regolamenti regionali.</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Forse in questo risiede la ragione per cui la corte, pur essendo stato questo uno dei motivi del ricorso governativo, non si esprime esplicitamente circa la conformità ai principi costituzionali della previsione di una particolare maggioranza (assoluta) necessaria per superare la decisione contraria della Consulta statutaria.</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La previsione della necessità di un procedimento aggravato allo scopo di superare un parere negativo del collegio di garanzia statutaria è certamente configurabile come una sorta di autolimitazione posta dallo statuto a garanzia della “statutarietà” delle decisioni normative del consiglio e della giunta regionale e può ritenersi ricompreso nell’autonomia statutaria di stabilire le regole di “organizzazione e funzionamento” della regione.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Dovremmo però in proposito chiederci fino a che punto tale limitazione (pur se nella forma di auto-limitazione) possa ritenersi compatibile con l’attribuzione del potere legislativo e regolamentare che la Costituzione fa in capo agli organi rappresentativi della regione, dovendosi ad esempio certo ritenere che non sia consentita, da parte dello statuto, una espropriazione di tale potere a vantaggio di altri o una limitazione assoluta dello stesso, se non nei casi e limiti previsti espressamente dalla Costituzione.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L’obbligo di riapprovare l’atto, motivando e con una maggioranza superiore a quella ordinaria, crea senza dubbio un aggravamento procedurale – del quale si potrebbe e dovrebbe, come detto, valutare la “sopportabilità” costituzionale -  che lascia comunque all’organo rappresentativo la possibilità di riapprovare, senza modifiche, il medesimo testo già approvato e censurato dall’organo di garanzia statutaria.</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Diverso sarebbe il caso in cui il parere del collegio di garanzia sulla conformità alla statuto del progetto di legge o di regolamento dovesse risultare vincolante per il soggetto che l’ha approvato o imponesse un aggravamento da ritenere “non sopportabile” (si pensi, ad esempio, all’obbligo di riapprovare ad unanimità), con la conseguenza che ad un organo amministrativo verrebbe riconosciuta la possibilità di impedire all’organo direttamente rappresentativo del corpo elettorale, ed al quale la Costituzione assegna il potere legislativo, di far entrare in vigore una determinata disciplina.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Qualora infatti il consiglio regionale intendesse, a fronte di un parere riconosciuto come vincolante, andare contro l’avviso del collegio di garanzia, dovremmo parlare di un vizio del procedimento legislativo, come tale censurabile davanti alla Corte costituzionale. Una tale limitazione del potere normativo del consiglio regionale mi pare che porrebbe consistenti e non facilmente superabili dubbi di conformità alla Costituzione.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4. Il Giudice costituzionale tiene inoltre  a sottolineare come l’intervento del collegio di garanzia abbia e debba avere necessariamente carattere preventivo e debba quindi svolgersi nel corso del procedimento di formazione dell’atto, concludendo nel senso che “nessun ricorso a tale organo è pertanto ammissibile dopo la promulgazione della legge o l’emanazione del regolamento, poiché ogni valutazione di legittimità è riservata, nei termini, nei limiti e con le modalità previsti dalla Costituzione e dalle leggi vigenti, alla Corte costituzionale ed ai giudici ordinari e amministrativi”.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Da varie parti è stato rilevato, in maniera convincente, che la natura, giurisdizionale o amministrativa, di una determinata attività non può essere fatta derivare dalle modalità attraverso le quali essa viene esplicata (preventivamente o successivamente all’emanazione dell’atto), bensì deve ritenersi collegata agli effetti che vengono riconosciuti alle relative decisioni.</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Una volta condivisa e ribadita tale conclusione, credo si debba aggiungere che - trattandosi di un soggetto espressivo dell’autonomia regionale che opera all’interno dell’ordinamento regionale, a seguito di una decisione di autolimitazione -  non pare elemento trascurabile il fatto che l’organo di garanzia statutaria eserciti la sua funzione su un atto già definitivamente approvato ed in vigore, come tale uscito pertanto dalla sfera del microsistema regionale, rispetto a che lo faccia in ordine ad un atto ancora </w:t>
      </w:r>
      <w:r w:rsidRPr="00B36327">
        <w:rPr>
          <w:rFonts w:ascii="Verdana" w:hAnsi="Verdana"/>
          <w:i/>
          <w:iCs/>
          <w:color w:val="000000"/>
          <w:sz w:val="18"/>
          <w:lang w:eastAsia="it-IT"/>
        </w:rPr>
        <w:t>in itinere</w:t>
      </w:r>
      <w:r w:rsidRPr="00B36327">
        <w:rPr>
          <w:rFonts w:ascii="Verdana" w:hAnsi="Verdana"/>
          <w:color w:val="000000"/>
          <w:sz w:val="18"/>
          <w:szCs w:val="18"/>
          <w:lang w:eastAsia="it-IT"/>
        </w:rPr>
        <w:t xml:space="preserve"> e quindi tutto interno all’ordinamento regionale.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Non sembra, in altri termini, da porre sullo stesso piano l’obbligo di riapprovazione (con motivazione o a maggioranza assoluta) di un progetto di legge – la cui inosservanza dà luogo, come detto, ad un vizio del procedimento censurabile davanti alla Corte costituzionale - rispetto alla previsione di un analogo obbligo a carico del consiglio regionale nei riguardi di una legge già in vigore, per il quale non risulta affatto chiaro quali dovrebbero essere gli effetti della mancata osservanza, da parte del consiglio, di una simile richiesta.</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Se, con i limiti previsti, nel primo caso è possibile accostare l’intervento della Consulta a quella di una sorta di controllo preventivo o di tipo cautelare, nel secondo esso non può avere che una funzione meramente consultiva, senza poter svolgere alcun effetto diretto sulla vigenza dell’atto e senza poter imporre all’organo politico di tornare sullo stesso (per riapprovarlo) o tanto meno sospenderne l’efficacia.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Una volta infatti che l’atto risulta essere efficace, il suo controllo sfugge dalla sfera regionale per rientrare in quella della Corte costituzionale o dei giudici comuni. In fondo è questa la ragione per cui tutti gli statuti hanno previsto che il parere della Consulta regionale sui progetti di legge e di regolamento debba avere carattere preventivo (</w:t>
      </w:r>
      <w:bookmarkStart w:id="5" w:name="_ftnref6"/>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"_ftn6"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[6]</w:t>
      </w:r>
      <w:r w:rsidRPr="00B36327">
        <w:rPr>
          <w:rFonts w:ascii="Verdana" w:hAnsi="Verdana"/>
          <w:color w:val="000000"/>
          <w:sz w:val="18"/>
          <w:szCs w:val="18"/>
          <w:lang w:eastAsia="it-IT"/>
        </w:rPr>
        <w:fldChar w:fldCharType="end"/>
      </w:r>
      <w:bookmarkEnd w:id="5"/>
      <w:r w:rsidRPr="00B36327">
        <w:rPr>
          <w:rFonts w:ascii="Verdana" w:hAnsi="Verdana"/>
          <w:color w:val="000000"/>
          <w:sz w:val="18"/>
          <w:szCs w:val="18"/>
          <w:lang w:eastAsia="it-IT"/>
        </w:rPr>
        <w:t>).</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Se appare del tutto plausibile la richiesta all’organo di garanzia statutaria di un parere, anche in considerazione dell’“impatto ambientale”, su atti già entrati in vigore, allo scopo di ricavare elementi che possano convincere l’organo politico competente a ritornare sulla sua decisione e modificare l’atto già approvato ed in vigore, tutto ciò viene  però a realizzarsi secondo una logica assai diversa da quella di una verifica preventiva di conformità allo statuto e/o alla Costituzione.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Così niente si oppone a che le Consulte statutarie esprimano il loro parere in ordine a conflitti aventi ad oggetto atti già definitivi ed efficaci, a condizione che la decisione si risolva in un parere agli organi regionali e non produca, direttamente o indirettamente, un sostanziale annullamento dell’atto.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L’organo di garanzia, più che una “piccola corte costituzionale”, pare pertanto vada ricondotto alla sua reale natura di organo amministrativo regionale – una sorta di autorità amministrativa indipendente, ma dotata di una competenza non specifica, ma generale - con ruolo di garanzia della rigidità dello statuto, nella sua funzione antimaggioritaria, da realizzare attraverso lo strumento del parere, puntando essenzialmente sulla forza persuasiva degli argomenti anzichè su quella coercitiva delle proprie decisioni.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Alla stessa conclusione pare giungere con la pronuncia in commento la Corte costituzionale, la quale ha tenuto a sottolineare come il collegio di garanzia statutaria ha “</w:t>
      </w:r>
      <w:r w:rsidRPr="00B36327">
        <w:rPr>
          <w:rFonts w:ascii="Verdana" w:hAnsi="Verdana"/>
          <w:i/>
          <w:iCs/>
          <w:color w:val="000000"/>
          <w:sz w:val="18"/>
          <w:lang w:eastAsia="it-IT"/>
        </w:rPr>
        <w:t>natura amministrativa</w:t>
      </w:r>
      <w:r w:rsidRPr="00B36327">
        <w:rPr>
          <w:rFonts w:ascii="Verdana" w:hAnsi="Verdana"/>
          <w:color w:val="000000"/>
          <w:sz w:val="18"/>
          <w:szCs w:val="18"/>
          <w:lang w:eastAsia="it-IT"/>
        </w:rPr>
        <w:t>” e le sue decisioni debbono essere qualificate, a tutti gli effetti, come “</w:t>
      </w:r>
      <w:r w:rsidRPr="00B36327">
        <w:rPr>
          <w:rFonts w:ascii="Verdana" w:hAnsi="Verdana"/>
          <w:i/>
          <w:iCs/>
          <w:color w:val="000000"/>
          <w:sz w:val="18"/>
          <w:lang w:eastAsia="it-IT"/>
        </w:rPr>
        <w:t>decisioni amministrative</w:t>
      </w:r>
      <w:r w:rsidRPr="00B36327">
        <w:rPr>
          <w:rFonts w:ascii="Verdana" w:hAnsi="Verdana"/>
          <w:color w:val="000000"/>
          <w:sz w:val="18"/>
          <w:szCs w:val="18"/>
          <w:lang w:eastAsia="it-IT"/>
        </w:rPr>
        <w:t>” le quali hanno lo scopo di “eliminare dubbi e controversie sull’interpretazione delle disposizioni statutarie e delle leggi regionali riguardanti i rapporti tra la regione e gli altri enti che operano nell’ambito del suo territorio” e non possono “né precludere, né, in alcun modo, limitare” la competenza degli organi giurisdizionali, ordinari o speciali, eventualmente chiamati a pronunciarsi sugli stessi atti, i quali potranno giudicare, nelle forme e nei modi previsti per l’impugnazione degli atti amministrativi, anche sulle pronunce della Consulta statutaria.</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5. La previsione di organi di garanzia statutaria trova il suo fondamento legittimante nella competenza attribuita agli statuti regionali a disciplinare i “principi fondamentali di organizzazione e funzionamento”, di cui all’art. 123 Cost. che prescrive altresì, come noto, che ciò debba però avvenire “in armonia” con la Costituzione ed i suoi principi.</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Sulla base di questi ultimi dobbiamo rilevare che l’ordinamento nazionale prevede forme di garanzia della conformità della legge regionale e dei regolamenti regionali alle prescrizioni dello statuto, attraverso le funzioni esercitate principalmente, nel caso delle leggi, dalla Corte costituzionale (tecnica della norma interposta) ed in quello dei regolamenti, dal giudice comune, ordinario e amministrativo e pone specifici limiti in proposito alla competenza normativa delle regioni.</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Ne deriva pertanto che non pare consentito alle stesse, attraverso i loro statuti, porre in essere una forma di garanzia che consista nel realizzare un sistema di “giustizia” parallelo a quello statale, potendo solo dar vita ad un tipo di garanzia, in certo senso “addizionale”, del rispetto dello Statuto, tutto interno all’ordinamento regionale e che valga ad impegnare gli organi regionali.</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Anche in considerazione di ciò può trovare una spiegazione ed una giustificazione la natura facoltativa e non necessaria degli organi di garanzia statutaria, altrimenti difficilmente giustificabile, nonchè l’assenza di tali organi nelle regioni a statuto speciale, dove non pare sufficiente la natura costituzionale dello statuto ad escluderne l’utilità e l’utilizzabilità.</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Le Consulte statutarie offrono perlopiù un’opera di alta consulenza, attraverso l’emanazione di pareri, come tali in linea di massima preventivi rispetto all’atto cui il parere si riferisce, senza alcun potere di annullamento, né di vincolare in modo definitivo le scelte del soggetto politico, il quale deve poter sempre superare, attraverso la riapprovazione, il parere negativo della Consulta. </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La natura autonoma e indipendente di quest’ultima, unitamente all’efficacia delle proprie statuizioni, fanno escludere che possa attribuirsi ad essa sia la natura di soggetto politico o di collaboratore del potere normativo (al pari di una commissione consiliare, politicamente rappresentativa), sia quella di un organo giurisdizionale, facendo invece propendere per quella di un’autorità amministrativa indipendente.</w:t>
      </w:r>
    </w:p>
    <w:p w:rsidR="001C04C5" w:rsidRPr="00B36327" w:rsidRDefault="001C04C5" w:rsidP="00B36327">
      <w:pPr>
        <w:spacing w:after="0" w:line="240" w:lineRule="auto"/>
        <w:rPr>
          <w:rFonts w:ascii="Verdana" w:hAnsi="Verdana"/>
          <w:color w:val="000000"/>
          <w:sz w:val="17"/>
          <w:szCs w:val="17"/>
          <w:lang w:eastAsia="it-IT"/>
        </w:rPr>
      </w:pPr>
      <w:r w:rsidRPr="00B36327">
        <w:rPr>
          <w:rFonts w:ascii="Verdana" w:hAnsi="Verdana"/>
          <w:color w:val="000000"/>
          <w:sz w:val="17"/>
          <w:szCs w:val="17"/>
          <w:lang w:eastAsia="it-IT"/>
        </w:rPr>
        <w:br w:type="textWrapping" w:clear="all"/>
      </w:r>
    </w:p>
    <w:p w:rsidR="001C04C5" w:rsidRPr="00B36327" w:rsidRDefault="001C04C5" w:rsidP="00B36327">
      <w:pPr>
        <w:spacing w:after="0" w:line="240" w:lineRule="auto"/>
        <w:rPr>
          <w:rFonts w:ascii="Verdana" w:hAnsi="Verdana"/>
          <w:color w:val="000000"/>
          <w:sz w:val="17"/>
          <w:szCs w:val="17"/>
          <w:lang w:eastAsia="it-IT"/>
        </w:rPr>
      </w:pPr>
      <w:r w:rsidRPr="002D75B9">
        <w:rPr>
          <w:rFonts w:ascii="Verdana" w:hAnsi="Verdana"/>
          <w:color w:val="000000"/>
          <w:sz w:val="17"/>
          <w:szCs w:val="17"/>
          <w:lang w:eastAsia="it-IT"/>
        </w:rPr>
        <w:pict>
          <v:rect id="_x0000_i1025" style="width:159.05pt;height:.75pt" o:hrpct="330" o:hralign="center" o:hrstd="t" o:hr="t" fillcolor="#aca899" stroked="f"/>
        </w:pict>
      </w:r>
    </w:p>
    <w:bookmarkStart w:id="6" w:name="_ftn1"/>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"_ftnref1"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[1]</w:t>
      </w:r>
      <w:r w:rsidRPr="00B36327">
        <w:rPr>
          <w:rFonts w:ascii="Verdana" w:hAnsi="Verdana"/>
          <w:color w:val="000000"/>
          <w:sz w:val="18"/>
          <w:szCs w:val="18"/>
          <w:lang w:eastAsia="it-IT"/>
        </w:rPr>
        <w:fldChar w:fldCharType="end"/>
      </w:r>
      <w:bookmarkEnd w:id="6"/>
      <w:r w:rsidRPr="00B36327">
        <w:rPr>
          <w:rFonts w:ascii="Verdana" w:hAnsi="Verdana"/>
          <w:color w:val="000000"/>
          <w:sz w:val="18"/>
          <w:szCs w:val="18"/>
          <w:lang w:eastAsia="it-IT"/>
        </w:rPr>
        <w:t xml:space="preserve"> La funzione di garanzia è esercitata attraverso “decisioni”, formate da un dispositivo ed una motivazione, rese dall’organo di garanzia in ordine alla “statutarietà” di proposte di legge o di regolamento, ai conflitti tra organi regionali o tra regione ed enti locali ed alla regolarità ed ammissibilità delle richieste di referendum, mentre quella di consulenza tramite “pareri”, tendenzialmente brevi e unitari, che possono essere richiesti da un numero di soggetti ben più ampio (difensore civico, consulta per l’ambiente, commissione pari opportunità ecc.).</w:t>
      </w:r>
    </w:p>
    <w:bookmarkStart w:id="7" w:name="_ftn2"/>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"_ftnref2"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[2]</w:t>
      </w:r>
      <w:r w:rsidRPr="00B36327">
        <w:rPr>
          <w:rFonts w:ascii="Verdana" w:hAnsi="Verdana"/>
          <w:color w:val="000000"/>
          <w:sz w:val="18"/>
          <w:szCs w:val="18"/>
          <w:lang w:eastAsia="it-IT"/>
        </w:rPr>
        <w:fldChar w:fldCharType="end"/>
      </w:r>
      <w:bookmarkEnd w:id="7"/>
      <w:r w:rsidRPr="00B36327">
        <w:rPr>
          <w:rFonts w:ascii="Verdana" w:hAnsi="Verdana"/>
          <w:color w:val="000000"/>
          <w:sz w:val="18"/>
          <w:szCs w:val="18"/>
          <w:lang w:eastAsia="it-IT"/>
        </w:rPr>
        <w:t xml:space="preserve"> Le altre regioni hanno perlopiù previsto la corresponsione di un gettone di presenza di 250 euro a seduta  (Abruzzo, Umbria) o in misura doppia rispetto al gettone previsto per i consiglieri (Piemonte) o ancora da fissare nell’ammontare  (Emilia-Romagna). La regione Toscana ha invece stabilito un compenso pari a 800 euro per ogni parere reso (1.200 euro per il relatore), mentre la regione Lazio ha parificato il compenso a quello del garante delle persone sottoposte a misure restrittive della libertà personale.</w:t>
      </w:r>
    </w:p>
    <w:bookmarkStart w:id="8" w:name="_ftn3"/>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"_ftnref3"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[3]</w:t>
      </w:r>
      <w:r w:rsidRPr="00B36327">
        <w:rPr>
          <w:rFonts w:ascii="Verdana" w:hAnsi="Verdana"/>
          <w:color w:val="000000"/>
          <w:sz w:val="18"/>
          <w:szCs w:val="18"/>
          <w:lang w:eastAsia="it-IT"/>
        </w:rPr>
        <w:fldChar w:fldCharType="end"/>
      </w:r>
      <w:bookmarkEnd w:id="8"/>
      <w:r w:rsidRPr="00B36327">
        <w:rPr>
          <w:rFonts w:ascii="Verdana" w:hAnsi="Verdana"/>
          <w:color w:val="000000"/>
          <w:sz w:val="18"/>
          <w:szCs w:val="18"/>
          <w:lang w:eastAsia="it-IT"/>
        </w:rPr>
        <w:t xml:space="preserve"> Salvo poi precisare che sono “vincolanti”, e con qualche eccezione, solo le “decisioni”, lasciando di conseguenza assai incerto il significato da attribuire all’espressione “si attengono” riferita ai pareri.</w:t>
      </w:r>
    </w:p>
    <w:bookmarkStart w:id="9" w:name="_ftn4"/>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"_ftnref4"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[4]</w:t>
      </w:r>
      <w:r w:rsidRPr="00B36327">
        <w:rPr>
          <w:rFonts w:ascii="Verdana" w:hAnsi="Verdana"/>
          <w:color w:val="000000"/>
          <w:sz w:val="18"/>
          <w:szCs w:val="18"/>
          <w:lang w:eastAsia="it-IT"/>
        </w:rPr>
        <w:fldChar w:fldCharType="end"/>
      </w:r>
      <w:bookmarkEnd w:id="9"/>
      <w:r w:rsidRPr="00B36327">
        <w:rPr>
          <w:rFonts w:ascii="Verdana" w:hAnsi="Verdana"/>
          <w:color w:val="000000"/>
          <w:sz w:val="18"/>
          <w:szCs w:val="18"/>
          <w:lang w:eastAsia="it-IT"/>
        </w:rPr>
        <w:t xml:space="preserve"> Così la regione Emilia-Romagna (l. 4 dicembre 2007, n. 23) stabilisce che la Consulta statutaria, in ordine a progetti di legge o di regolamento, può dichiarare la loro non conformità </w:t>
      </w:r>
      <w:r w:rsidRPr="00B36327">
        <w:rPr>
          <w:rFonts w:ascii="Verdana" w:hAnsi="Verdana"/>
          <w:i/>
          <w:iCs/>
          <w:color w:val="000000"/>
          <w:sz w:val="18"/>
          <w:lang w:eastAsia="it-IT"/>
        </w:rPr>
        <w:t>in toto</w:t>
      </w:r>
      <w:r w:rsidRPr="00B36327">
        <w:rPr>
          <w:rFonts w:ascii="Verdana" w:hAnsi="Verdana"/>
          <w:color w:val="000000"/>
          <w:sz w:val="18"/>
          <w:szCs w:val="18"/>
          <w:lang w:eastAsia="it-IT"/>
        </w:rPr>
        <w:t xml:space="preserve"> con le disposizioni statutarie, dichiarare che solo alcune disposizioni si pongono in contrasto con lo statuto o ancora suggerire le eventuali modifiche necessarie. A fronte di ciò l’organo consiliare ha l’obbligo di iscrivere l’argomento al primo punto dell’ordine del giorno e l’assemblea può decidere di non seguire le osservazioni della Consulta e, in questo caso, deve motivare con apposita delibera oppure recepire, in tutto o in parte, quanto rilevato, apportando modifiche al testo del provvedimento. Il provvedimento finale entra in vigore, nei modi e nei tempi stabiliti dallo statuto, sia che il testo approvato venga modificato, sia che venga deciso di mantenerlo invariato.</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La regione Toscana (l. 4 giugno 2008, n. 34) prevede che il Collegio di garanzia esprima il suo giudizio, con indicazione se ad unanimità o a maggioranza, e lo pubblica sul Bollettino ufficiale della regione. Qualora il giudizio sia di non conformità allo statuto, il progetto viene rassegnato alla commissione consiliare competente per un riesame nelle parti oggetto del giudizio di non conformità, le quali vengono quindi riesaminate dal consiglio. Nel caso in cui questi intenda riapprovare il provvedimento senza modifiche, ha l’obbligo di motivarne le ragioni con apposita delibera. Sulle deliberazioni di riapprovazione non è consentito chiedere nuovamente il parere dell’organo di garanzia statutaria.</w:t>
      </w:r>
    </w:p>
    <w:bookmarkStart w:id="10" w:name="_ftn5"/>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"_ftnref5"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[5]</w:t>
      </w:r>
      <w:r w:rsidRPr="00B36327">
        <w:rPr>
          <w:rFonts w:ascii="Verdana" w:hAnsi="Verdana"/>
          <w:color w:val="000000"/>
          <w:sz w:val="18"/>
          <w:szCs w:val="18"/>
          <w:lang w:eastAsia="it-IT"/>
        </w:rPr>
        <w:fldChar w:fldCharType="end"/>
      </w:r>
      <w:bookmarkEnd w:id="10"/>
      <w:r w:rsidRPr="00B36327">
        <w:rPr>
          <w:rFonts w:ascii="Verdana" w:hAnsi="Verdana"/>
          <w:color w:val="000000"/>
          <w:sz w:val="18"/>
          <w:szCs w:val="18"/>
          <w:lang w:eastAsia="it-IT"/>
        </w:rPr>
        <w:t xml:space="preserve"> La regione Lazio (l. 21 dicembre 2007, n. 24) specifica che l’organo di garanzia statutaria indica il soggetto titolare della competenza contestata ed invita l’organo incompetente a ritirare, entro dieci giorni dalla notifica della decisione, l’atto approvato; qualora esso non intenda adeguarsi è obbligato a sottoporre la questione al consiglio regionale. Analogamente la regione Liguria, nel regolamento interno del consiglio regionale, stabilisce che, qualora il parere in ordine al conflitto sorto non venga accettato, la valutazione spetta al consiglio regionale, sentita la competente commissione consiliare.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La regione Emilia Romagna stabilisce che l’organo che ha adottato l’atto deve trasmettere le proprie osservazioni alla Consulta statutaria, la quale convoca i soggetti interessati per ottenere ulteriori elementi di giudizio e poi trasmette la propria decisione alle parti.</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La regione Toscana ha escluso che oggetto del conflitto possano essere atti normativi ed ha previsto che, nel caso in cui il conflitto sia ritenuto fondato e siano accolte le ragioni del richiedente, l’organo interessato ha solo l’obbligo di riesaminare l’atto e, ove ritenga di non accogliere i rilievi del collegio di garanzia, il medesimo organo deve solo darne comunicazione scritta e motivata al collegio ed al soggetto che ha sollevato il conflitto e contestuale informazione agli altri titolari del potere di richiesta. </w:t>
      </w:r>
    </w:p>
    <w:bookmarkStart w:id="11" w:name="_ftn6"/>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fldChar w:fldCharType="begin"/>
      </w:r>
      <w:r w:rsidRPr="00B36327">
        <w:rPr>
          <w:rFonts w:ascii="Verdana" w:hAnsi="Verdana"/>
          <w:color w:val="000000"/>
          <w:sz w:val="18"/>
          <w:szCs w:val="18"/>
          <w:lang w:eastAsia="it-IT"/>
        </w:rPr>
        <w:instrText xml:space="preserve"> HYPERLINK "http://www.associazionedeicostituzionalisti.it/giurisprudenza/decisioni2/romboli/romboli3.html" \l "_ftnref6" \o "" </w:instrText>
      </w:r>
      <w:r w:rsidRPr="00AD43AA">
        <w:rPr>
          <w:rFonts w:ascii="Verdana" w:hAnsi="Verdana"/>
          <w:color w:val="000000"/>
          <w:sz w:val="18"/>
          <w:szCs w:val="18"/>
          <w:lang w:eastAsia="it-IT"/>
        </w:rPr>
      </w:r>
      <w:r w:rsidRPr="00B36327">
        <w:rPr>
          <w:rFonts w:ascii="Verdana" w:hAnsi="Verdana"/>
          <w:color w:val="000000"/>
          <w:sz w:val="18"/>
          <w:szCs w:val="18"/>
          <w:lang w:eastAsia="it-IT"/>
        </w:rPr>
        <w:fldChar w:fldCharType="separate"/>
      </w:r>
      <w:r w:rsidRPr="00B36327">
        <w:rPr>
          <w:rFonts w:ascii="Verdana" w:hAnsi="Verdana"/>
          <w:b/>
          <w:bCs/>
          <w:color w:val="003366"/>
          <w:sz w:val="18"/>
          <w:lang w:eastAsia="it-IT"/>
        </w:rPr>
        <w:t>[6]</w:t>
      </w:r>
      <w:r w:rsidRPr="00B36327">
        <w:rPr>
          <w:rFonts w:ascii="Verdana" w:hAnsi="Verdana"/>
          <w:color w:val="000000"/>
          <w:sz w:val="18"/>
          <w:szCs w:val="18"/>
          <w:lang w:eastAsia="it-IT"/>
        </w:rPr>
        <w:fldChar w:fldCharType="end"/>
      </w:r>
      <w:bookmarkEnd w:id="11"/>
      <w:r w:rsidRPr="00B36327">
        <w:rPr>
          <w:rFonts w:ascii="Verdana" w:hAnsi="Verdana"/>
          <w:color w:val="000000"/>
          <w:sz w:val="18"/>
          <w:szCs w:val="18"/>
          <w:lang w:eastAsia="it-IT"/>
        </w:rPr>
        <w:t xml:space="preserve"> La scelta seguita da tutti gli statuti è stata infatti quella di richiedere il parere dell’organo di garanzia statutaria preventivamente, inserendolo dopo la definitiva approvazione da parte del soggetto competente e prima della promulgazione, emanazione ed entrata in vigore dell’atto, con la sola eccezione della regione Liguria, dove è stato previsto che il parere debba essere chiesto ed intervenire prima della discussione e quindi dell’approvazione da parte dell’organo competente.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 xml:space="preserve">Non si può mancare di rilevare come in quest’ultimo caso il ruolo della consulta statutaria pare assolutamente ridimensionato, se non del tutto annullato, sembrando davvero un inutile dispendio di energie l’aver istituito un organo indipendente e </w:t>
      </w:r>
      <w:r w:rsidRPr="00B36327">
        <w:rPr>
          <w:rFonts w:ascii="Verdana" w:hAnsi="Verdana"/>
          <w:i/>
          <w:iCs/>
          <w:color w:val="000000"/>
          <w:sz w:val="18"/>
          <w:lang w:eastAsia="it-IT"/>
        </w:rPr>
        <w:t>super partes</w:t>
      </w:r>
      <w:r w:rsidRPr="00B36327">
        <w:rPr>
          <w:rFonts w:ascii="Verdana" w:hAnsi="Verdana"/>
          <w:color w:val="000000"/>
          <w:sz w:val="18"/>
          <w:szCs w:val="18"/>
          <w:lang w:eastAsia="it-IT"/>
        </w:rPr>
        <w:t>, formato da soggetti altamente qualificati sotto l’aspetto tecnico, per chiedere loro un apporto di carattere quasi meramente istruttorio su un testo che con ogni probabilità sarà poi profondamente cambiato nel corso della discussione in commissione o in assemblea, con il risultato di rendere il parere molto spesso inutilizzabile o comunque facilmente superabile.</w:t>
      </w:r>
    </w:p>
    <w:p w:rsidR="001C04C5" w:rsidRPr="00B36327" w:rsidRDefault="001C04C5" w:rsidP="00B36327">
      <w:pPr>
        <w:spacing w:before="100" w:beforeAutospacing="1" w:after="0" w:line="240" w:lineRule="auto"/>
        <w:rPr>
          <w:rFonts w:ascii="Verdana" w:hAnsi="Verdana"/>
          <w:color w:val="000000"/>
          <w:sz w:val="18"/>
          <w:szCs w:val="18"/>
          <w:lang w:eastAsia="it-IT"/>
        </w:rPr>
      </w:pPr>
      <w:r w:rsidRPr="00B36327">
        <w:rPr>
          <w:rFonts w:ascii="Verdana" w:hAnsi="Verdana"/>
          <w:color w:val="000000"/>
          <w:sz w:val="18"/>
          <w:szCs w:val="18"/>
          <w:lang w:eastAsia="it-IT"/>
        </w:rPr>
        <w:t>(05 maggio 2009)</w:t>
      </w:r>
    </w:p>
    <w:p w:rsidR="001C04C5" w:rsidRDefault="001C04C5"/>
    <w:sectPr w:rsidR="001C04C5" w:rsidSect="004F6DD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36327"/>
    <w:rsid w:val="00193EA6"/>
    <w:rsid w:val="001C04C5"/>
    <w:rsid w:val="002D75B9"/>
    <w:rsid w:val="004F6DDA"/>
    <w:rsid w:val="006F2D37"/>
    <w:rsid w:val="00AD43AA"/>
    <w:rsid w:val="00B3632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DD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B36327"/>
    <w:rPr>
      <w:rFonts w:cs="Times New Roman"/>
      <w:b/>
      <w:bCs/>
      <w:color w:val="003366"/>
      <w:u w:val="none"/>
      <w:effect w:val="none"/>
    </w:rPr>
  </w:style>
  <w:style w:type="character" w:styleId="Strong">
    <w:name w:val="Strong"/>
    <w:basedOn w:val="DefaultParagraphFont"/>
    <w:uiPriority w:val="99"/>
    <w:qFormat/>
    <w:rsid w:val="00B36327"/>
    <w:rPr>
      <w:rFonts w:cs="Times New Roman"/>
      <w:b/>
      <w:bCs/>
    </w:rPr>
  </w:style>
  <w:style w:type="character" w:styleId="Emphasis">
    <w:name w:val="Emphasis"/>
    <w:basedOn w:val="DefaultParagraphFont"/>
    <w:uiPriority w:val="99"/>
    <w:qFormat/>
    <w:rsid w:val="00B36327"/>
    <w:rPr>
      <w:rFonts w:cs="Times New Roman"/>
      <w:i/>
      <w:iCs/>
    </w:rPr>
  </w:style>
</w:styles>
</file>

<file path=word/webSettings.xml><?xml version="1.0" encoding="utf-8"?>
<w:webSettings xmlns:r="http://schemas.openxmlformats.org/officeDocument/2006/relationships" xmlns:w="http://schemas.openxmlformats.org/wordprocessingml/2006/main">
  <w:divs>
    <w:div w:id="797532797">
      <w:marLeft w:val="0"/>
      <w:marRight w:val="0"/>
      <w:marTop w:val="60"/>
      <w:marBottom w:val="0"/>
      <w:divBdr>
        <w:top w:val="none" w:sz="0" w:space="0" w:color="auto"/>
        <w:left w:val="none" w:sz="0" w:space="0" w:color="auto"/>
        <w:bottom w:val="none" w:sz="0" w:space="0" w:color="auto"/>
        <w:right w:val="none" w:sz="0" w:space="0" w:color="auto"/>
      </w:divBdr>
      <w:divsChild>
        <w:div w:id="797532793">
          <w:marLeft w:val="0"/>
          <w:marRight w:val="0"/>
          <w:marTop w:val="0"/>
          <w:marBottom w:val="0"/>
          <w:divBdr>
            <w:top w:val="none" w:sz="0" w:space="0" w:color="auto"/>
            <w:left w:val="none" w:sz="0" w:space="0" w:color="auto"/>
            <w:bottom w:val="none" w:sz="0" w:space="0" w:color="auto"/>
            <w:right w:val="none" w:sz="0" w:space="0" w:color="auto"/>
          </w:divBdr>
          <w:divsChild>
            <w:div w:id="797532791">
              <w:marLeft w:val="0"/>
              <w:marRight w:val="0"/>
              <w:marTop w:val="0"/>
              <w:marBottom w:val="0"/>
              <w:divBdr>
                <w:top w:val="none" w:sz="0" w:space="0" w:color="auto"/>
                <w:left w:val="none" w:sz="0" w:space="0" w:color="auto"/>
                <w:bottom w:val="none" w:sz="0" w:space="0" w:color="auto"/>
                <w:right w:val="none" w:sz="0" w:space="0" w:color="auto"/>
              </w:divBdr>
            </w:div>
            <w:div w:id="797532792">
              <w:marLeft w:val="0"/>
              <w:marRight w:val="0"/>
              <w:marTop w:val="0"/>
              <w:marBottom w:val="0"/>
              <w:divBdr>
                <w:top w:val="none" w:sz="0" w:space="0" w:color="auto"/>
                <w:left w:val="none" w:sz="0" w:space="0" w:color="auto"/>
                <w:bottom w:val="none" w:sz="0" w:space="0" w:color="auto"/>
                <w:right w:val="none" w:sz="0" w:space="0" w:color="auto"/>
              </w:divBdr>
            </w:div>
            <w:div w:id="797532795">
              <w:marLeft w:val="0"/>
              <w:marRight w:val="0"/>
              <w:marTop w:val="0"/>
              <w:marBottom w:val="0"/>
              <w:divBdr>
                <w:top w:val="none" w:sz="0" w:space="0" w:color="auto"/>
                <w:left w:val="none" w:sz="0" w:space="0" w:color="auto"/>
                <w:bottom w:val="none" w:sz="0" w:space="0" w:color="auto"/>
                <w:right w:val="none" w:sz="0" w:space="0" w:color="auto"/>
              </w:divBdr>
            </w:div>
            <w:div w:id="797532796">
              <w:marLeft w:val="0"/>
              <w:marRight w:val="0"/>
              <w:marTop w:val="0"/>
              <w:marBottom w:val="0"/>
              <w:divBdr>
                <w:top w:val="none" w:sz="0" w:space="0" w:color="auto"/>
                <w:left w:val="none" w:sz="0" w:space="0" w:color="auto"/>
                <w:bottom w:val="none" w:sz="0" w:space="0" w:color="auto"/>
                <w:right w:val="none" w:sz="0" w:space="0" w:color="auto"/>
              </w:divBdr>
            </w:div>
            <w:div w:id="797532798">
              <w:marLeft w:val="0"/>
              <w:marRight w:val="0"/>
              <w:marTop w:val="0"/>
              <w:marBottom w:val="0"/>
              <w:divBdr>
                <w:top w:val="none" w:sz="0" w:space="0" w:color="auto"/>
                <w:left w:val="none" w:sz="0" w:space="0" w:color="auto"/>
                <w:bottom w:val="none" w:sz="0" w:space="0" w:color="auto"/>
                <w:right w:val="none" w:sz="0" w:space="0" w:color="auto"/>
              </w:divBdr>
            </w:div>
            <w:div w:id="797532799">
              <w:marLeft w:val="0"/>
              <w:marRight w:val="0"/>
              <w:marTop w:val="0"/>
              <w:marBottom w:val="0"/>
              <w:divBdr>
                <w:top w:val="none" w:sz="0" w:space="0" w:color="auto"/>
                <w:left w:val="none" w:sz="0" w:space="0" w:color="auto"/>
                <w:bottom w:val="none" w:sz="0" w:space="0" w:color="auto"/>
                <w:right w:val="none" w:sz="0" w:space="0" w:color="auto"/>
              </w:divBdr>
            </w:div>
            <w:div w:id="797532800">
              <w:marLeft w:val="0"/>
              <w:marRight w:val="0"/>
              <w:marTop w:val="0"/>
              <w:marBottom w:val="0"/>
              <w:divBdr>
                <w:top w:val="none" w:sz="0" w:space="0" w:color="auto"/>
                <w:left w:val="none" w:sz="0" w:space="0" w:color="auto"/>
                <w:bottom w:val="none" w:sz="0" w:space="0" w:color="auto"/>
                <w:right w:val="none" w:sz="0" w:space="0" w:color="auto"/>
              </w:divBdr>
            </w:div>
          </w:divsChild>
        </w:div>
        <w:div w:id="797532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ssociazionedeicostituzionalisti.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3600</Words>
  <Characters>20524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Tratto da http://www</dc:title>
  <dc:subject/>
  <dc:creator>Valued Acer Customer</dc:creator>
  <cp:keywords/>
  <dc:description/>
  <cp:lastModifiedBy>galicic_a</cp:lastModifiedBy>
  <cp:revision>2</cp:revision>
  <dcterms:created xsi:type="dcterms:W3CDTF">2009-11-26T11:18:00Z</dcterms:created>
  <dcterms:modified xsi:type="dcterms:W3CDTF">2009-11-26T11:18:00Z</dcterms:modified>
</cp:coreProperties>
</file>